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BC" w:rsidRDefault="00F514BC" w:rsidP="00A211BF">
      <w:pPr>
        <w:pStyle w:val="Default"/>
        <w:jc w:val="right"/>
        <w:rPr>
          <w:b/>
          <w:bCs/>
          <w:sz w:val="22"/>
          <w:szCs w:val="22"/>
        </w:rPr>
      </w:pPr>
      <w:bookmarkStart w:id="0" w:name="_Toc462995521"/>
      <w:bookmarkStart w:id="1" w:name="_Toc464826496"/>
      <w:bookmarkStart w:id="2" w:name="_Toc465412714"/>
      <w:bookmarkStart w:id="3" w:name="_Toc465878833"/>
      <w:bookmarkStart w:id="4" w:name="_Toc465878948"/>
      <w:r>
        <w:rPr>
          <w:noProof/>
          <w:lang w:eastAsia="en-GB"/>
        </w:rPr>
        <mc:AlternateContent>
          <mc:Choice Requires="wps">
            <w:drawing>
              <wp:anchor distT="0" distB="0" distL="114300" distR="114300" simplePos="0" relativeHeight="251661312" behindDoc="0" locked="0" layoutInCell="1" allowOverlap="1" wp14:anchorId="13757A88" wp14:editId="1CEA780B">
                <wp:simplePos x="0" y="0"/>
                <wp:positionH relativeFrom="column">
                  <wp:posOffset>-1607503</wp:posOffset>
                </wp:positionH>
                <wp:positionV relativeFrom="paragraph">
                  <wp:posOffset>-407988</wp:posOffset>
                </wp:positionV>
                <wp:extent cx="5070695" cy="3379470"/>
                <wp:effectExtent l="7303" t="0" r="4127" b="4128"/>
                <wp:wrapNone/>
                <wp:docPr id="7" name="Right Triangle 7"/>
                <wp:cNvGraphicFramePr/>
                <a:graphic xmlns:a="http://schemas.openxmlformats.org/drawingml/2006/main">
                  <a:graphicData uri="http://schemas.microsoft.com/office/word/2010/wordprocessingShape">
                    <wps:wsp>
                      <wps:cNvSpPr/>
                      <wps:spPr>
                        <a:xfrm rot="5400000">
                          <a:off x="0" y="0"/>
                          <a:ext cx="5070695" cy="3379470"/>
                        </a:xfrm>
                        <a:prstGeom prst="rtTriangl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126.6pt;margin-top:-32.15pt;width:399.25pt;height:266.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" fillcolor="#365f91 [2404]" stroked="f" strokeweight="2pt">
                <v:stroke endcap="round"/>
              </v:shape>
            </w:pict>
          </mc:Fallback>
        </mc:AlternateContent>
      </w:r>
      <w:r>
        <w:rPr>
          <w:noProof/>
          <w:lang w:eastAsia="en-GB"/>
        </w:rPr>
        <w:drawing>
          <wp:anchor distT="0" distB="0" distL="114300" distR="114300" simplePos="0" relativeHeight="251659264" behindDoc="0" locked="0" layoutInCell="1" allowOverlap="1" wp14:anchorId="6A0C0028" wp14:editId="696EE747">
            <wp:simplePos x="0" y="0"/>
            <wp:positionH relativeFrom="column">
              <wp:posOffset>2557348</wp:posOffset>
            </wp:positionH>
            <wp:positionV relativeFrom="paragraph">
              <wp:posOffset>-1197550</wp:posOffset>
            </wp:positionV>
            <wp:extent cx="4177291" cy="534838"/>
            <wp:effectExtent l="0" t="0" r="0" b="0"/>
            <wp:wrapNone/>
            <wp:docPr id="2" name="Picture 2" descr="S:\Data\PUBLICATIONS AND COMMUNICATION MATERIALS\Natural resources\banner web\NRR-Banner-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PUBLICATIONS AND COMMUNICATION MATERIALS\Natural resources\banner web\NRR-Banner-89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7291" cy="53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4BC" w:rsidRDefault="00F514BC" w:rsidP="00A33128">
      <w:pPr>
        <w:pStyle w:val="Default"/>
        <w:rPr>
          <w:b/>
          <w:bCs/>
          <w:sz w:val="22"/>
          <w:szCs w:val="22"/>
        </w:rPr>
      </w:pPr>
    </w:p>
    <w:p w:rsidR="00F514BC" w:rsidRDefault="00F514BC" w:rsidP="00A211BF">
      <w:pPr>
        <w:pStyle w:val="Default"/>
        <w:tabs>
          <w:tab w:val="right" w:pos="10206"/>
        </w:tabs>
        <w:jc w:val="righ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Default="00F514BC" w:rsidP="00CD3931">
      <w:pPr>
        <w:pStyle w:val="Default"/>
        <w:rPr>
          <w:b/>
          <w:bCs/>
          <w:color w:val="4F81BD" w:themeColor="accent1"/>
          <w:sz w:val="56"/>
          <w:szCs w:val="22"/>
        </w:rPr>
      </w:pPr>
    </w:p>
    <w:p w:rsidR="00F514BC" w:rsidRPr="00CD3931" w:rsidRDefault="00F514BC" w:rsidP="00CD3931">
      <w:pPr>
        <w:pStyle w:val="Default"/>
        <w:ind w:left="1020"/>
        <w:rPr>
          <w:b/>
          <w:bCs/>
          <w:color w:val="365F91" w:themeColor="accent1" w:themeShade="BF"/>
          <w:sz w:val="22"/>
          <w:szCs w:val="22"/>
        </w:rPr>
      </w:pPr>
      <w:r>
        <w:rPr>
          <w:b/>
          <w:bCs/>
          <w:color w:val="365F91" w:themeColor="accent1" w:themeShade="BF"/>
          <w:sz w:val="56"/>
          <w:szCs w:val="22"/>
        </w:rPr>
        <w:t xml:space="preserve">Guiding Principles for Durable Extractive Contracts </w:t>
      </w:r>
    </w:p>
    <w:p w:rsidR="00F514BC" w:rsidRPr="00CD3931" w:rsidRDefault="00F514BC" w:rsidP="00CD3931">
      <w:pPr>
        <w:pStyle w:val="Default"/>
        <w:jc w:val="center"/>
        <w:rPr>
          <w:b/>
          <w:bCs/>
          <w:color w:val="365F91" w:themeColor="accent1" w:themeShade="BF"/>
          <w:sz w:val="22"/>
          <w:szCs w:val="22"/>
        </w:rPr>
      </w:pPr>
    </w:p>
    <w:p w:rsidR="00F514BC" w:rsidRDefault="00F514BC" w:rsidP="00CD3931">
      <w:pPr>
        <w:pStyle w:val="Default"/>
        <w:ind w:left="680" w:firstLine="340"/>
        <w:rPr>
          <w:b/>
          <w:bCs/>
          <w:color w:val="808080" w:themeColor="background1" w:themeShade="80"/>
          <w:sz w:val="32"/>
          <w:szCs w:val="22"/>
        </w:rPr>
      </w:pPr>
    </w:p>
    <w:p w:rsidR="00F514BC" w:rsidRPr="00CD3931" w:rsidRDefault="00F514BC" w:rsidP="00F514BC">
      <w:pPr>
        <w:pStyle w:val="Default"/>
        <w:ind w:left="680"/>
        <w:rPr>
          <w:b/>
          <w:bCs/>
          <w:color w:val="808080" w:themeColor="background1" w:themeShade="80"/>
          <w:sz w:val="32"/>
          <w:szCs w:val="22"/>
        </w:rPr>
      </w:pPr>
      <w:r w:rsidRPr="00CD3931">
        <w:rPr>
          <w:b/>
          <w:bCs/>
          <w:color w:val="808080" w:themeColor="background1" w:themeShade="80"/>
          <w:sz w:val="32"/>
          <w:szCs w:val="22"/>
        </w:rPr>
        <w:t xml:space="preserve">Advanced Draft for </w:t>
      </w:r>
      <w:r>
        <w:rPr>
          <w:b/>
          <w:bCs/>
          <w:color w:val="808080" w:themeColor="background1" w:themeShade="80"/>
          <w:sz w:val="32"/>
          <w:szCs w:val="22"/>
        </w:rPr>
        <w:t xml:space="preserve">public </w:t>
      </w:r>
      <w:r w:rsidRPr="00CD3931">
        <w:rPr>
          <w:b/>
          <w:bCs/>
          <w:color w:val="808080" w:themeColor="background1" w:themeShade="80"/>
          <w:sz w:val="32"/>
          <w:szCs w:val="22"/>
        </w:rPr>
        <w:t xml:space="preserve">comment until </w:t>
      </w:r>
      <w:r>
        <w:rPr>
          <w:b/>
          <w:bCs/>
          <w:color w:val="808080" w:themeColor="background1" w:themeShade="80"/>
          <w:sz w:val="32"/>
          <w:szCs w:val="22"/>
        </w:rPr>
        <w:t>30</w:t>
      </w:r>
      <w:r w:rsidRPr="00CD3931">
        <w:rPr>
          <w:b/>
          <w:bCs/>
          <w:color w:val="808080" w:themeColor="background1" w:themeShade="80"/>
          <w:sz w:val="32"/>
          <w:szCs w:val="22"/>
        </w:rPr>
        <w:t xml:space="preserve"> </w:t>
      </w:r>
      <w:r>
        <w:rPr>
          <w:b/>
          <w:bCs/>
          <w:color w:val="808080" w:themeColor="background1" w:themeShade="80"/>
          <w:sz w:val="32"/>
          <w:szCs w:val="22"/>
        </w:rPr>
        <w:t>March</w:t>
      </w:r>
      <w:r w:rsidRPr="00CD3931">
        <w:rPr>
          <w:b/>
          <w:bCs/>
          <w:color w:val="808080" w:themeColor="background1" w:themeShade="80"/>
          <w:sz w:val="32"/>
          <w:szCs w:val="22"/>
        </w:rPr>
        <w:t xml:space="preserve"> 201</w:t>
      </w:r>
      <w:r>
        <w:rPr>
          <w:b/>
          <w:bCs/>
          <w:color w:val="808080" w:themeColor="background1" w:themeShade="80"/>
          <w:sz w:val="32"/>
          <w:szCs w:val="22"/>
        </w:rPr>
        <w:t>8</w:t>
      </w:r>
    </w:p>
    <w:p w:rsidR="00F514BC" w:rsidRPr="00CD3931" w:rsidRDefault="00F514BC" w:rsidP="00A33128">
      <w:pPr>
        <w:pStyle w:val="Default"/>
        <w:rPr>
          <w:b/>
          <w:bCs/>
          <w:sz w:val="22"/>
          <w:szCs w:val="22"/>
        </w:rPr>
      </w:pPr>
    </w:p>
    <w:p w:rsidR="00F514BC" w:rsidRDefault="00F514BC" w:rsidP="00A33128">
      <w:pPr>
        <w:pStyle w:val="Default"/>
        <w:rPr>
          <w:bCs/>
          <w:sz w:val="22"/>
          <w:szCs w:val="22"/>
        </w:rPr>
      </w:pPr>
    </w:p>
    <w:p w:rsidR="00F514BC" w:rsidRDefault="00F514BC" w:rsidP="00A33128">
      <w:pPr>
        <w:pStyle w:val="Default"/>
        <w:rPr>
          <w:bCs/>
          <w:sz w:val="22"/>
          <w:szCs w:val="22"/>
        </w:rPr>
      </w:pPr>
    </w:p>
    <w:p w:rsidR="00F514BC" w:rsidRDefault="00F514BC" w:rsidP="00A33128">
      <w:pPr>
        <w:pStyle w:val="Default"/>
        <w:rPr>
          <w:bCs/>
          <w:sz w:val="22"/>
          <w:szCs w:val="22"/>
        </w:rPr>
      </w:pPr>
    </w:p>
    <w:p w:rsidR="00F514BC" w:rsidRDefault="00F514BC" w:rsidP="00A33128">
      <w:pPr>
        <w:pStyle w:val="Default"/>
        <w:rPr>
          <w:bCs/>
          <w:sz w:val="22"/>
          <w:szCs w:val="22"/>
        </w:rPr>
      </w:pPr>
      <w:r>
        <w:rPr>
          <w:noProof/>
          <w:lang w:eastAsia="en-GB"/>
        </w:rPr>
        <mc:AlternateContent>
          <mc:Choice Requires="wps">
            <w:drawing>
              <wp:anchor distT="0" distB="0" distL="114300" distR="114300" simplePos="0" relativeHeight="251660288" behindDoc="0" locked="0" layoutInCell="1" allowOverlap="1" wp14:anchorId="5EAB8C72" wp14:editId="7637E2B4">
                <wp:simplePos x="0" y="0"/>
                <wp:positionH relativeFrom="column">
                  <wp:posOffset>2158365</wp:posOffset>
                </wp:positionH>
                <wp:positionV relativeFrom="paragraph">
                  <wp:posOffset>-2540</wp:posOffset>
                </wp:positionV>
                <wp:extent cx="5898515" cy="3379470"/>
                <wp:effectExtent l="2223" t="0" r="9207" b="9208"/>
                <wp:wrapNone/>
                <wp:docPr id="6" name="Right Triangle 6"/>
                <wp:cNvGraphicFramePr/>
                <a:graphic xmlns:a="http://schemas.openxmlformats.org/drawingml/2006/main">
                  <a:graphicData uri="http://schemas.microsoft.com/office/word/2010/wordprocessingShape">
                    <wps:wsp>
                      <wps:cNvSpPr/>
                      <wps:spPr>
                        <a:xfrm rot="16200000">
                          <a:off x="0" y="0"/>
                          <a:ext cx="5898515" cy="3379470"/>
                        </a:xfrm>
                        <a:prstGeom prst="rtTriangl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6" o:spid="_x0000_s1026" type="#_x0000_t6" style="position:absolute;margin-left:169.95pt;margin-top:-.2pt;width:464.45pt;height:266.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" fillcolor="#365f91 [2404]" stroked="f" strokeweight="2pt">
                <v:stroke endcap="round"/>
              </v:shape>
            </w:pict>
          </mc:Fallback>
        </mc:AlternateContent>
      </w:r>
    </w:p>
    <w:p w:rsidR="00F514BC" w:rsidRDefault="00F514BC" w:rsidP="00A33128">
      <w:pPr>
        <w:pStyle w:val="Default"/>
        <w:rPr>
          <w:bCs/>
          <w:sz w:val="22"/>
          <w:szCs w:val="22"/>
        </w:rPr>
      </w:pPr>
    </w:p>
    <w:p w:rsidR="00F514BC" w:rsidRDefault="00F514BC" w:rsidP="00A33128">
      <w:pPr>
        <w:pStyle w:val="Default"/>
        <w:rPr>
          <w:bCs/>
          <w:sz w:val="22"/>
          <w:szCs w:val="22"/>
        </w:rPr>
      </w:pPr>
    </w:p>
    <w:p w:rsidR="00F514BC" w:rsidRDefault="00F514BC" w:rsidP="00A33128">
      <w:pPr>
        <w:pStyle w:val="Default"/>
        <w:rPr>
          <w:b/>
          <w:bCs/>
          <w:sz w:val="22"/>
          <w:szCs w:val="22"/>
        </w:rPr>
      </w:pPr>
    </w:p>
    <w:p w:rsidR="00F514BC" w:rsidRDefault="00F514BC" w:rsidP="00A33128">
      <w:pPr>
        <w:pStyle w:val="Default"/>
        <w:rPr>
          <w:b/>
          <w:bCs/>
          <w:sz w:val="22"/>
          <w:szCs w:val="22"/>
        </w:rPr>
      </w:pPr>
    </w:p>
    <w:p w:rsidR="00F514BC" w:rsidRPr="00195D53" w:rsidRDefault="00F514BC" w:rsidP="00A33128">
      <w:pPr>
        <w:pStyle w:val="Default"/>
        <w:rPr>
          <w:b/>
          <w:bCs/>
          <w:sz w:val="22"/>
          <w:szCs w:val="22"/>
        </w:rPr>
      </w:pPr>
    </w:p>
    <w:p w:rsidR="00F514BC" w:rsidRPr="00401E93" w:rsidRDefault="00F514BC" w:rsidP="00401E93"/>
    <w:p w:rsidR="00F514BC" w:rsidRDefault="00F514BC" w:rsidP="00401E93"/>
    <w:p w:rsidR="00F514BC" w:rsidRDefault="00F514BC" w:rsidP="00401E93">
      <w:pPr>
        <w:tabs>
          <w:tab w:val="clear" w:pos="850"/>
          <w:tab w:val="clear" w:pos="1191"/>
          <w:tab w:val="clear" w:pos="1531"/>
          <w:tab w:val="left" w:pos="340"/>
          <w:tab w:val="left" w:pos="680"/>
        </w:tabs>
      </w:pPr>
      <w:r>
        <w:tab/>
      </w:r>
    </w:p>
    <w:p w:rsidR="00F514BC" w:rsidRDefault="00F514BC" w:rsidP="00401E93">
      <w:pPr>
        <w:tabs>
          <w:tab w:val="clear" w:pos="850"/>
          <w:tab w:val="clear" w:pos="1191"/>
          <w:tab w:val="clear" w:pos="1531"/>
          <w:tab w:val="left" w:pos="340"/>
          <w:tab w:val="left" w:pos="680"/>
        </w:tabs>
      </w:pPr>
    </w:p>
    <w:p w:rsidR="00F514BC" w:rsidRDefault="00F514BC" w:rsidP="00401E93">
      <w:pPr>
        <w:tabs>
          <w:tab w:val="clear" w:pos="850"/>
          <w:tab w:val="clear" w:pos="1191"/>
          <w:tab w:val="clear" w:pos="1531"/>
          <w:tab w:val="left" w:pos="340"/>
          <w:tab w:val="left" w:pos="680"/>
        </w:tabs>
      </w:pPr>
    </w:p>
    <w:p w:rsidR="00F514BC" w:rsidRPr="00CD3931" w:rsidRDefault="00F514BC" w:rsidP="00401E93">
      <w:pPr>
        <w:tabs>
          <w:tab w:val="clear" w:pos="850"/>
          <w:tab w:val="clear" w:pos="1191"/>
          <w:tab w:val="clear" w:pos="1531"/>
          <w:tab w:val="left" w:pos="340"/>
          <w:tab w:val="left" w:pos="680"/>
        </w:tabs>
        <w:sectPr w:rsidR="00F514BC" w:rsidRPr="00CD3931" w:rsidSect="00190EC3">
          <w:headerReference w:type="default" r:id="rId14"/>
          <w:footerReference w:type="even" r:id="rId15"/>
          <w:footerReference w:type="default" r:id="rId16"/>
          <w:endnotePr>
            <w:numFmt w:val="decimal"/>
          </w:endnotePr>
          <w:type w:val="oddPage"/>
          <w:pgSz w:w="11906" w:h="16838"/>
          <w:pgMar w:top="1984" w:right="1274" w:bottom="1814" w:left="1191" w:header="567" w:footer="1247" w:gutter="0"/>
          <w:cols w:space="720"/>
          <w:docGrid w:linePitch="299"/>
        </w:sectPr>
      </w:pPr>
      <w:r>
        <w:rPr>
          <w:noProof/>
          <w:lang w:eastAsia="en-GB"/>
        </w:rPr>
        <w:drawing>
          <wp:inline distT="0" distB="0" distL="0" distR="0" wp14:anchorId="590105CE" wp14:editId="174897C4">
            <wp:extent cx="2325191" cy="624702"/>
            <wp:effectExtent l="0" t="0" r="0" b="0"/>
            <wp:docPr id="3" name="Picture 3"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aud_l\AppData\Local\Microsoft\Windows\Temporary Internet Files\Content.Outlook\J37GCXKP\OECD-DEV-SpecialJointProjects_EN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5443" cy="627456"/>
                    </a:xfrm>
                    <a:prstGeom prst="rect">
                      <a:avLst/>
                    </a:prstGeom>
                    <a:noFill/>
                    <a:ln>
                      <a:noFill/>
                    </a:ln>
                  </pic:spPr>
                </pic:pic>
              </a:graphicData>
            </a:graphic>
          </wp:inline>
        </w:drawing>
      </w:r>
      <w:r>
        <w:tab/>
      </w:r>
    </w:p>
    <w:p w:rsidR="00F514BC" w:rsidRDefault="00F514BC" w:rsidP="00F514BC">
      <w:pPr>
        <w:rPr>
          <w:b/>
          <w:sz w:val="24"/>
          <w:szCs w:val="24"/>
        </w:rPr>
      </w:pPr>
      <w:r w:rsidRPr="00F514BC">
        <w:rPr>
          <w:b/>
          <w:sz w:val="24"/>
          <w:szCs w:val="24"/>
        </w:rPr>
        <w:lastRenderedPageBreak/>
        <w:t xml:space="preserve">Context </w:t>
      </w:r>
    </w:p>
    <w:p w:rsidR="00F514BC" w:rsidRPr="00F514BC" w:rsidRDefault="00F514BC" w:rsidP="00F514BC">
      <w:pPr>
        <w:rPr>
          <w:b/>
          <w:sz w:val="24"/>
          <w:szCs w:val="24"/>
        </w:rPr>
      </w:pPr>
    </w:p>
    <w:p w:rsidR="00F514BC" w:rsidRDefault="00F514BC" w:rsidP="0090449B">
      <w:pPr>
        <w:pStyle w:val="BodyText"/>
        <w:ind w:firstLine="0"/>
      </w:pPr>
      <w:r>
        <w:t xml:space="preserve">At </w:t>
      </w:r>
      <w:r w:rsidRPr="00CA2681">
        <w:t xml:space="preserve">the </w:t>
      </w:r>
      <w:r>
        <w:t xml:space="preserve">Fourth Plenary Meeting of the </w:t>
      </w:r>
      <w:r w:rsidRPr="00CA2681">
        <w:t xml:space="preserve">Policy Dialogue on Natural Resource-based Development held </w:t>
      </w:r>
      <w:r>
        <w:t>in December 2015</w:t>
      </w:r>
      <w:r w:rsidRPr="000147BB">
        <w:t xml:space="preserve"> </w:t>
      </w:r>
      <w:r w:rsidRPr="00F2791A">
        <w:t>at the OECD in Paris, participating</w:t>
      </w:r>
      <w:r w:rsidRPr="000147BB">
        <w:t xml:space="preserve"> </w:t>
      </w:r>
      <w:r w:rsidRPr="00F2791A">
        <w:t>governments, industry and civil society</w:t>
      </w:r>
      <w:r w:rsidRPr="000147BB">
        <w:t xml:space="preserve"> </w:t>
      </w:r>
      <w:r>
        <w:t xml:space="preserve">agreed to pursue the dialogue on how contracts can be designed to withstand the test of time. </w:t>
      </w:r>
    </w:p>
    <w:p w:rsidR="00F514BC" w:rsidRDefault="00F514BC" w:rsidP="0090449B">
      <w:pPr>
        <w:pStyle w:val="BodyText"/>
        <w:ind w:firstLine="0"/>
      </w:pPr>
    </w:p>
    <w:p w:rsidR="00F514BC" w:rsidRDefault="00F514BC" w:rsidP="0090449B">
      <w:pPr>
        <w:pStyle w:val="BodyText"/>
        <w:ind w:firstLine="0"/>
      </w:pPr>
      <w:r>
        <w:t xml:space="preserve">Participants identified an increasing frequency in the demand for the re-negotiation of extractive contracts, and noted the instability that this demand can create in respect of investment and sustainable economic growth.  Consequently, participants </w:t>
      </w:r>
      <w:r w:rsidRPr="005339D0">
        <w:t xml:space="preserve">discussed </w:t>
      </w:r>
      <w:r>
        <w:t xml:space="preserve">different </w:t>
      </w:r>
      <w:r w:rsidRPr="005339D0">
        <w:t>contractual mechanisms to deal with change</w:t>
      </w:r>
      <w:r>
        <w:t xml:space="preserve"> with the </w:t>
      </w:r>
      <w:r w:rsidRPr="005339D0">
        <w:t xml:space="preserve">objective of working towards </w:t>
      </w:r>
      <w:r>
        <w:t xml:space="preserve">a </w:t>
      </w:r>
      <w:r w:rsidRPr="00CE7B4A">
        <w:t>set of guiding principles that host governments and investors can use as a common reference to build mutual trust during contract negotiations, and structure extractive contracts for the long term</w:t>
      </w:r>
      <w:r>
        <w:t>.</w:t>
      </w:r>
    </w:p>
    <w:p w:rsidR="00F514BC" w:rsidRPr="0066081A" w:rsidRDefault="00F514BC" w:rsidP="0090449B">
      <w:pPr>
        <w:pStyle w:val="BodyText"/>
        <w:ind w:firstLine="0"/>
      </w:pPr>
    </w:p>
    <w:p w:rsidR="00F514BC" w:rsidRDefault="00F514BC" w:rsidP="00983BC6">
      <w:pPr>
        <w:pStyle w:val="BodyText"/>
        <w:ind w:firstLine="0"/>
      </w:pPr>
      <w:r>
        <w:t xml:space="preserve">This document is an output of the multi-stakeholder Negotiation Support Forum, </w:t>
      </w:r>
      <w:r w:rsidRPr="00CE7B4A">
        <w:t>an integral part of the OECD Policy Dialogue on Natural Resource-based Development’s Work Stream 3 on “Getting Better Deals</w:t>
      </w:r>
      <w:r>
        <w:t>”. The</w:t>
      </w:r>
      <w:r w:rsidRPr="001E3622">
        <w:t xml:space="preserve"> Negotiation Support Forum</w:t>
      </w:r>
      <w:r>
        <w:t xml:space="preserve"> comprises a </w:t>
      </w:r>
      <w:r w:rsidRPr="001E3622">
        <w:t>multi-stakeholder group</w:t>
      </w:r>
      <w:r>
        <w:t xml:space="preserve"> </w:t>
      </w:r>
      <w:r w:rsidRPr="001E3622">
        <w:t>of subject matter experts from government, the private sector, civil society and international organisations</w:t>
      </w:r>
      <w:r>
        <w:t>.</w:t>
      </w:r>
      <w:r w:rsidRPr="001E3622">
        <w:t xml:space="preserve"> </w:t>
      </w:r>
    </w:p>
    <w:p w:rsidR="00F514BC" w:rsidRPr="001E3622" w:rsidRDefault="00F514BC" w:rsidP="00983BC6">
      <w:pPr>
        <w:pStyle w:val="BodyText"/>
        <w:ind w:firstLine="0"/>
      </w:pPr>
    </w:p>
    <w:p w:rsidR="00F514BC" w:rsidRDefault="00F514BC" w:rsidP="0090449B">
      <w:pPr>
        <w:pStyle w:val="BodyText"/>
        <w:ind w:firstLine="0"/>
      </w:pPr>
      <w:r>
        <w:t xml:space="preserve">The </w:t>
      </w:r>
      <w:r w:rsidRPr="00B409AA">
        <w:rPr>
          <w:rFonts w:eastAsia="Malgun Gothic"/>
          <w:bCs/>
          <w:i/>
          <w:lang w:eastAsia="de-DE"/>
        </w:rPr>
        <w:t>Guiding Principles for Durable Extractive Contracts</w:t>
      </w:r>
      <w:r>
        <w:t xml:space="preserve"> (</w:t>
      </w:r>
      <w:r w:rsidRPr="00DE5BB9">
        <w:rPr>
          <w:i/>
        </w:rPr>
        <w:t>Guiding Principles</w:t>
      </w:r>
      <w:r>
        <w:t xml:space="preserve">) set out eight principles and supporting commentary that host governments and investors can use as a common reference </w:t>
      </w:r>
      <w:r w:rsidRPr="005339D0">
        <w:t>for future negotiations of enduring, sustainable and mutually beneficial extractive contracts.</w:t>
      </w:r>
      <w:r>
        <w:t xml:space="preserve">  They aim to</w:t>
      </w:r>
      <w:r w:rsidRPr="00D37833">
        <w:t xml:space="preserve"> provide guidance for </w:t>
      </w:r>
      <w:r>
        <w:t xml:space="preserve">the content and </w:t>
      </w:r>
      <w:r w:rsidRPr="00D37833">
        <w:t xml:space="preserve">negotiation </w:t>
      </w:r>
      <w:r>
        <w:t xml:space="preserve">of durable extractive contracts that can </w:t>
      </w:r>
      <w:r w:rsidRPr="00CF7DB9">
        <w:t>reduce or eliminate the drivers of renegotiation</w:t>
      </w:r>
      <w:r>
        <w:t xml:space="preserve"> and can provide adaptive and flexible provisions that can automatically adjust to prevailing market conditions.</w:t>
      </w:r>
      <w:r>
        <w:t xml:space="preserve"> </w:t>
      </w:r>
      <w:r>
        <w:t>An initial draft</w:t>
      </w:r>
      <w:r w:rsidRPr="00A83C8B">
        <w:t xml:space="preserve"> of the </w:t>
      </w:r>
      <w:r w:rsidRPr="009A27F5">
        <w:rPr>
          <w:i/>
        </w:rPr>
        <w:t>Guiding Principles</w:t>
      </w:r>
      <w:r w:rsidRPr="00A83C8B">
        <w:t xml:space="preserve"> </w:t>
      </w:r>
      <w:r>
        <w:t>was prepared by the OECD</w:t>
      </w:r>
      <w:r w:rsidRPr="00A83C8B">
        <w:t xml:space="preserve"> Development Centre</w:t>
      </w:r>
      <w:r>
        <w:t>, serving as Secretariat, and was discussed at the Seventh</w:t>
      </w:r>
      <w:r w:rsidRPr="00E426BD">
        <w:t xml:space="preserve"> Meeting of the Policy Dialogue on Natural Resource-based Development held </w:t>
      </w:r>
      <w:r>
        <w:t xml:space="preserve">on 30 November 2016 </w:t>
      </w:r>
      <w:r w:rsidRPr="00E426BD">
        <w:t>at the OECD in Paris</w:t>
      </w:r>
      <w:r>
        <w:t xml:space="preserve">.  </w:t>
      </w:r>
      <w:proofErr w:type="gramStart"/>
      <w:r>
        <w:t xml:space="preserve">Following that meeting, the </w:t>
      </w:r>
      <w:r w:rsidRPr="009A27F5">
        <w:rPr>
          <w:i/>
        </w:rPr>
        <w:t>Guiding Principles</w:t>
      </w:r>
      <w:r w:rsidRPr="00A83C8B">
        <w:t xml:space="preserve"> </w:t>
      </w:r>
      <w:r>
        <w:t xml:space="preserve">were revised by the OECD Development Centre and </w:t>
      </w:r>
      <w:r w:rsidRPr="00E426BD">
        <w:t xml:space="preserve">benefitted from the input </w:t>
      </w:r>
      <w:r>
        <w:t>of</w:t>
      </w:r>
      <w:r w:rsidRPr="00E426BD">
        <w:t xml:space="preserve"> the Friends of </w:t>
      </w:r>
      <w:r>
        <w:t>the</w:t>
      </w:r>
      <w:r w:rsidRPr="00E426BD">
        <w:t xml:space="preserve"> Negotiation Support Forum</w:t>
      </w:r>
      <w:r>
        <w:t>,</w:t>
      </w:r>
      <w:r w:rsidRPr="00E426BD">
        <w:t xml:space="preserve"> who met via teleconference to review </w:t>
      </w:r>
      <w:r>
        <w:t xml:space="preserve">subsequent </w:t>
      </w:r>
      <w:r w:rsidRPr="00E426BD">
        <w:t>drafts on 31 January, 28 March</w:t>
      </w:r>
      <w:r>
        <w:t xml:space="preserve"> and</w:t>
      </w:r>
      <w:r w:rsidRPr="00E426BD">
        <w:t xml:space="preserve"> 2 May</w:t>
      </w:r>
      <w:r>
        <w:t xml:space="preserve"> 2017</w:t>
      </w:r>
      <w:r w:rsidRPr="00E426BD">
        <w:t>.</w:t>
      </w:r>
      <w:proofErr w:type="gramEnd"/>
      <w:r w:rsidRPr="00E426BD">
        <w:t xml:space="preserve">  As part of the consultation process, an informal expert workshop was held on 7 April 2017 at the OECD in Paris.  Subsequently, a draft of the </w:t>
      </w:r>
      <w:r w:rsidRPr="00E426BD">
        <w:rPr>
          <w:i/>
        </w:rPr>
        <w:t>Guiding Principles</w:t>
      </w:r>
      <w:r w:rsidRPr="00E426BD">
        <w:t xml:space="preserve"> was submitted for consideration during the Multi-Stakeholder Consultations of the Eighth Meeting of the Policy Dialogue on Natural Resource-based Development held on 17 June 2017 at the OECD in Paris, and further revised following teleconference</w:t>
      </w:r>
      <w:r>
        <w:t>s</w:t>
      </w:r>
      <w:r w:rsidRPr="00E426BD">
        <w:t xml:space="preserve"> on 25 July </w:t>
      </w:r>
      <w:r>
        <w:t xml:space="preserve">and 30 November </w:t>
      </w:r>
      <w:r w:rsidRPr="00E426BD">
        <w:t xml:space="preserve">2017. The current version reflects thorough and inclusive consultation and convergence built within the Friends </w:t>
      </w:r>
      <w:r>
        <w:t xml:space="preserve">of the </w:t>
      </w:r>
      <w:r w:rsidRPr="003E6308">
        <w:t>Negotiation Support</w:t>
      </w:r>
      <w:r>
        <w:t xml:space="preserve"> Forum working group</w:t>
      </w:r>
      <w:r w:rsidRPr="00E426BD">
        <w:t xml:space="preserve"> and participants in the Negotiation Support Forum. </w:t>
      </w:r>
    </w:p>
    <w:p w:rsidR="00F514BC" w:rsidRPr="00E426BD" w:rsidRDefault="00F514BC" w:rsidP="0090449B">
      <w:pPr>
        <w:pStyle w:val="BodyText"/>
        <w:ind w:firstLine="0"/>
      </w:pPr>
    </w:p>
    <w:p w:rsidR="00F514BC" w:rsidRPr="00F2791A" w:rsidRDefault="00F514BC" w:rsidP="0090449B">
      <w:r w:rsidRPr="00F2791A">
        <w:rPr>
          <w:rFonts w:eastAsia="Malgun Gothic"/>
          <w:bCs/>
          <w:lang w:eastAsia="de-DE"/>
        </w:rPr>
        <w:t xml:space="preserve">The OECD Development Centre invites public comment on the advanced draft </w:t>
      </w:r>
      <w:r>
        <w:rPr>
          <w:rFonts w:eastAsia="Malgun Gothic"/>
          <w:bCs/>
          <w:lang w:eastAsia="de-DE"/>
        </w:rPr>
        <w:t xml:space="preserve">of the </w:t>
      </w:r>
      <w:r w:rsidRPr="009A27F5">
        <w:rPr>
          <w:rFonts w:eastAsia="Malgun Gothic"/>
          <w:bCs/>
          <w:i/>
          <w:lang w:eastAsia="de-DE"/>
        </w:rPr>
        <w:t>Guiding Principles for Durable Extractive Contracts</w:t>
      </w:r>
      <w:r w:rsidRPr="0066081A">
        <w:rPr>
          <w:rFonts w:eastAsia="Malgun Gothic"/>
          <w:bCs/>
          <w:lang w:eastAsia="de-DE"/>
        </w:rPr>
        <w:t xml:space="preserve">. </w:t>
      </w:r>
      <w:r w:rsidRPr="00F2791A">
        <w:rPr>
          <w:rFonts w:eastAsia="Malgun Gothic"/>
          <w:bCs/>
          <w:lang w:eastAsia="de-DE"/>
        </w:rPr>
        <w:t xml:space="preserve">Comments received will inform </w:t>
      </w:r>
      <w:r>
        <w:rPr>
          <w:rFonts w:eastAsia="Malgun Gothic"/>
          <w:bCs/>
          <w:lang w:eastAsia="de-DE"/>
        </w:rPr>
        <w:t xml:space="preserve">any further </w:t>
      </w:r>
      <w:r w:rsidRPr="00F2791A">
        <w:rPr>
          <w:rFonts w:eastAsia="Malgun Gothic"/>
          <w:bCs/>
          <w:lang w:eastAsia="de-DE"/>
        </w:rPr>
        <w:t xml:space="preserve">revisions </w:t>
      </w:r>
      <w:r>
        <w:rPr>
          <w:rFonts w:eastAsia="Malgun Gothic"/>
          <w:bCs/>
          <w:lang w:eastAsia="de-DE"/>
        </w:rPr>
        <w:t xml:space="preserve">for purposes of the finalisation </w:t>
      </w:r>
      <w:proofErr w:type="gramStart"/>
      <w:r>
        <w:rPr>
          <w:rFonts w:eastAsia="Malgun Gothic"/>
          <w:bCs/>
          <w:lang w:eastAsia="de-DE"/>
        </w:rPr>
        <w:t xml:space="preserve">of </w:t>
      </w:r>
      <w:r w:rsidRPr="00F2791A">
        <w:rPr>
          <w:rFonts w:eastAsia="Malgun Gothic"/>
          <w:bCs/>
          <w:lang w:eastAsia="de-DE"/>
        </w:rPr>
        <w:t xml:space="preserve"> the</w:t>
      </w:r>
      <w:proofErr w:type="gramEnd"/>
      <w:r w:rsidRPr="00F2791A">
        <w:rPr>
          <w:rFonts w:eastAsia="Malgun Gothic"/>
          <w:bCs/>
          <w:lang w:eastAsia="de-DE"/>
        </w:rPr>
        <w:t xml:space="preserve"> </w:t>
      </w:r>
      <w:r w:rsidRPr="009A27F5">
        <w:rPr>
          <w:rFonts w:eastAsia="Malgun Gothic"/>
          <w:bCs/>
          <w:i/>
          <w:lang w:eastAsia="de-DE"/>
        </w:rPr>
        <w:t>Guiding Principles</w:t>
      </w:r>
      <w:r w:rsidRPr="0066081A">
        <w:rPr>
          <w:rFonts w:eastAsia="Malgun Gothic"/>
          <w:bCs/>
          <w:lang w:eastAsia="de-DE"/>
        </w:rPr>
        <w:t xml:space="preserve"> </w:t>
      </w:r>
      <w:r w:rsidRPr="00F2791A">
        <w:rPr>
          <w:rFonts w:eastAsia="Malgun Gothic"/>
          <w:bCs/>
          <w:lang w:eastAsia="de-DE"/>
        </w:rPr>
        <w:t xml:space="preserve">by the </w:t>
      </w:r>
      <w:r>
        <w:rPr>
          <w:rFonts w:eastAsia="Malgun Gothic"/>
          <w:bCs/>
          <w:lang w:eastAsia="de-DE"/>
        </w:rPr>
        <w:t>OECD Development Centre, supported by the Friends of the Negotiation Support Forum</w:t>
      </w:r>
      <w:r w:rsidRPr="00F2791A">
        <w:rPr>
          <w:rFonts w:eastAsia="Malgun Gothic"/>
          <w:bCs/>
          <w:lang w:eastAsia="de-DE"/>
        </w:rPr>
        <w:t xml:space="preserve">. </w:t>
      </w:r>
    </w:p>
    <w:p w:rsidR="00F514BC" w:rsidRPr="00CA2681" w:rsidRDefault="00F514BC" w:rsidP="009A27F5">
      <w:pPr>
        <w:pStyle w:val="BodyText"/>
        <w:ind w:firstLine="0"/>
      </w:pPr>
    </w:p>
    <w:p w:rsidR="00F514BC" w:rsidRDefault="00F514BC" w:rsidP="00F514BC">
      <w:pPr>
        <w:rPr>
          <w:b/>
          <w:sz w:val="24"/>
          <w:szCs w:val="24"/>
        </w:rPr>
      </w:pPr>
      <w:r w:rsidRPr="00F514BC">
        <w:rPr>
          <w:b/>
          <w:sz w:val="24"/>
          <w:szCs w:val="24"/>
        </w:rPr>
        <w:t xml:space="preserve">Invitation to contribute </w:t>
      </w:r>
    </w:p>
    <w:p w:rsidR="00F514BC" w:rsidRPr="00F514BC" w:rsidRDefault="00F514BC" w:rsidP="00F514BC">
      <w:pPr>
        <w:rPr>
          <w:b/>
          <w:sz w:val="24"/>
          <w:szCs w:val="24"/>
        </w:rPr>
      </w:pPr>
    </w:p>
    <w:p w:rsidR="00F514BC" w:rsidRDefault="00F514BC" w:rsidP="00F514BC">
      <w:pPr>
        <w:pStyle w:val="BodyText"/>
        <w:ind w:firstLine="0"/>
      </w:pPr>
      <w:r w:rsidRPr="006570F0">
        <w:t xml:space="preserve">Government, business and civil society representatives, international organisations, and the general public are invited to contribute comments to the </w:t>
      </w:r>
      <w:r>
        <w:t xml:space="preserve">advanced </w:t>
      </w:r>
      <w:r w:rsidRPr="006570F0">
        <w:t>draft of</w:t>
      </w:r>
      <w:r>
        <w:t xml:space="preserve"> the </w:t>
      </w:r>
      <w:r w:rsidRPr="00682816">
        <w:rPr>
          <w:i/>
        </w:rPr>
        <w:t>Guiding Principles</w:t>
      </w:r>
      <w:r w:rsidRPr="006570F0">
        <w:t xml:space="preserve">. </w:t>
      </w:r>
      <w:r w:rsidRPr="00A44F50">
        <w:rPr>
          <w:b/>
        </w:rPr>
        <w:t xml:space="preserve">Comments should be sent to </w:t>
      </w:r>
      <w:hyperlink r:id="rId18" w:history="1">
        <w:r w:rsidRPr="00B34BF4">
          <w:rPr>
            <w:rStyle w:val="Hyperlink"/>
            <w:b/>
          </w:rPr>
          <w:t>DEV.NaturalResources@oecd.org</w:t>
        </w:r>
      </w:hyperlink>
      <w:r w:rsidRPr="00A44F50">
        <w:rPr>
          <w:b/>
        </w:rPr>
        <w:t xml:space="preserve"> by </w:t>
      </w:r>
      <w:r>
        <w:rPr>
          <w:b/>
        </w:rPr>
        <w:t>30 March 2018</w:t>
      </w:r>
      <w:r w:rsidRPr="006570F0">
        <w:t xml:space="preserve">. </w:t>
      </w:r>
    </w:p>
    <w:p w:rsidR="00F514BC" w:rsidRDefault="00F514BC" w:rsidP="00F514BC">
      <w:pPr>
        <w:pStyle w:val="BodyText"/>
        <w:ind w:firstLine="0"/>
      </w:pPr>
    </w:p>
    <w:p w:rsidR="00F514BC" w:rsidRDefault="00F514BC" w:rsidP="00F514BC">
      <w:pPr>
        <w:pStyle w:val="BodyText"/>
        <w:ind w:firstLine="0"/>
      </w:pPr>
      <w:r>
        <w:t>To f</w:t>
      </w:r>
      <w:r w:rsidRPr="00A44F50">
        <w:t xml:space="preserve">ind out more about OECD work on natural resource-based development, please </w:t>
      </w:r>
      <w:r>
        <w:t>visit</w:t>
      </w:r>
      <w:r w:rsidRPr="004D191D">
        <w:rPr>
          <w:sz w:val="20"/>
        </w:rPr>
        <w:t xml:space="preserve"> </w:t>
      </w:r>
      <w:hyperlink r:id="rId19" w:history="1">
        <w:r w:rsidRPr="008629C1">
          <w:rPr>
            <w:rStyle w:val="Hyperlink"/>
            <w:b/>
          </w:rPr>
          <w:t>http://www.oecd.org/dev/natural-resources.htm</w:t>
        </w:r>
      </w:hyperlink>
      <w:r>
        <w:t xml:space="preserve"> </w:t>
      </w:r>
    </w:p>
    <w:p w:rsidR="00F514BC" w:rsidRDefault="00F514BC" w:rsidP="00A44F50">
      <w:pPr>
        <w:pStyle w:val="BodyText"/>
        <w:ind w:firstLine="0"/>
        <w:rPr>
          <w:rFonts w:ascii="Arial" w:hAnsi="Arial" w:cs="Arial"/>
          <w:sz w:val="20"/>
        </w:rPr>
      </w:pPr>
    </w:p>
    <w:p w:rsidR="00F514BC" w:rsidRDefault="00F514BC">
      <w:pPr>
        <w:tabs>
          <w:tab w:val="clear" w:pos="850"/>
          <w:tab w:val="clear" w:pos="1191"/>
          <w:tab w:val="clear" w:pos="1531"/>
        </w:tabs>
        <w:jc w:val="left"/>
        <w:rPr>
          <w:rFonts w:ascii="Arial" w:eastAsia="SimSun" w:hAnsi="Arial" w:cs="Arial"/>
          <w:sz w:val="20"/>
        </w:rPr>
      </w:pPr>
      <w:r>
        <w:rPr>
          <w:rFonts w:ascii="Arial" w:hAnsi="Arial" w:cs="Arial"/>
          <w:sz w:val="20"/>
        </w:rPr>
        <w:br w:type="page"/>
      </w: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bookmarkStart w:id="5" w:name="_GoBack"/>
      <w:bookmarkEnd w:id="5"/>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Default="00F514BC" w:rsidP="00A44F50">
      <w:pPr>
        <w:pStyle w:val="BodyText"/>
        <w:ind w:firstLine="0"/>
        <w:rPr>
          <w:rFonts w:ascii="Arial" w:hAnsi="Arial" w:cs="Arial"/>
          <w:sz w:val="20"/>
        </w:rPr>
      </w:pPr>
    </w:p>
    <w:p w:rsidR="00F514BC" w:rsidRPr="001E3622" w:rsidRDefault="00F514BC" w:rsidP="00A44F50">
      <w:pPr>
        <w:pStyle w:val="BodyText"/>
        <w:ind w:firstLine="0"/>
        <w:rPr>
          <w:rFonts w:ascii="Arial" w:hAnsi="Arial" w:cs="Arial"/>
          <w:sz w:val="20"/>
        </w:rPr>
      </w:pPr>
    </w:p>
    <w:p w:rsidR="00F514BC" w:rsidRPr="008C028B" w:rsidRDefault="00F514BC" w:rsidP="008C028B">
      <w:pPr>
        <w:pStyle w:val="BodyText"/>
        <w:ind w:firstLine="0"/>
        <w:jc w:val="left"/>
        <w:rPr>
          <w:sz w:val="20"/>
        </w:rPr>
      </w:pPr>
    </w:p>
    <w:p w:rsidR="00F514BC" w:rsidRPr="008C028B" w:rsidRDefault="00F514BC" w:rsidP="008C028B">
      <w:pPr>
        <w:pStyle w:val="Default"/>
        <w:rPr>
          <w:rFonts w:ascii="Times New Roman" w:hAnsi="Times New Roman" w:cs="Times New Roman"/>
          <w:sz w:val="20"/>
          <w:szCs w:val="20"/>
        </w:rPr>
      </w:pPr>
      <w:r w:rsidRPr="008C028B">
        <w:rPr>
          <w:rFonts w:ascii="Times New Roman" w:hAnsi="Times New Roman" w:cs="Times New Roman"/>
          <w:sz w:val="20"/>
          <w:szCs w:val="20"/>
        </w:rPr>
        <w:t>© OECD 2018</w:t>
      </w:r>
    </w:p>
    <w:p w:rsidR="00F514BC" w:rsidRPr="008C028B" w:rsidRDefault="00F514BC" w:rsidP="008C028B">
      <w:pPr>
        <w:jc w:val="left"/>
        <w:sectPr w:rsidR="00F514BC" w:rsidRPr="008C028B" w:rsidSect="00F85692">
          <w:headerReference w:type="default" r:id="rId20"/>
          <w:endnotePr>
            <w:numFmt w:val="decimal"/>
          </w:endnotePr>
          <w:pgSz w:w="11906" w:h="16838"/>
          <w:pgMar w:top="1984" w:right="1247" w:bottom="1814" w:left="1191" w:header="426" w:footer="1247" w:gutter="0"/>
          <w:cols w:space="720"/>
          <w:docGrid w:linePitch="299"/>
        </w:sectPr>
      </w:pPr>
      <w:r w:rsidRPr="008C028B">
        <w:rPr>
          <w:sz w:val="20"/>
        </w:rPr>
        <w:t>This document is a draft prepared by the OECD Secretariat for public consultation. It does not necessarily reflect the views of the OECD or those of its member countries. This document and any map included herein are without prejudice to the status of or sovereignty over any territory, to the delimitation of international frontiers and boundaries and to the name</w:t>
      </w:r>
      <w:r w:rsidRPr="008C028B">
        <w:rPr>
          <w:sz w:val="20"/>
        </w:rPr>
        <w:t xml:space="preserve"> of any territory, city or area.</w:t>
      </w:r>
    </w:p>
    <w:p w:rsidR="008475A4" w:rsidRDefault="008475A4" w:rsidP="00DB2C8C">
      <w:pPr>
        <w:pStyle w:val="Heading9"/>
        <w:numPr>
          <w:ilvl w:val="0"/>
          <w:numId w:val="0"/>
        </w:numPr>
        <w:tabs>
          <w:tab w:val="left" w:pos="2985"/>
          <w:tab w:val="center" w:pos="6979"/>
        </w:tabs>
        <w:contextualSpacing/>
        <w:rPr>
          <w:color w:val="auto"/>
          <w:sz w:val="22"/>
          <w:szCs w:val="22"/>
        </w:rPr>
      </w:pPr>
      <w:r>
        <w:lastRenderedPageBreak/>
        <w:fldChar w:fldCharType="begin"/>
      </w:r>
      <w:r>
        <w:instrText xml:space="preserve"> MACROBUTTON NUMBERING </w:instrText>
      </w:r>
      <w:r>
        <w:fldChar w:fldCharType="begin"/>
      </w:r>
      <w:r>
        <w:instrText xml:space="preserve"> SEQ  cpara \h \r 0</w:instrText>
      </w:r>
      <w:r>
        <w:fldChar w:fldCharType="end"/>
      </w:r>
      <w:r>
        <w:fldChar w:fldCharType="begin"/>
      </w:r>
      <w:r>
        <w:instrText xml:space="preserve"> SEQ  ccount \h</w:instrText>
      </w:r>
      <w:r>
        <w:fldChar w:fldCharType="end"/>
      </w:r>
      <w:r>
        <w:fldChar w:fldCharType="end"/>
      </w:r>
      <w:bookmarkStart w:id="6" w:name="_Toc483918888"/>
      <w:r w:rsidR="000252BD" w:rsidRPr="00DC319B">
        <w:rPr>
          <w:color w:val="auto"/>
          <w:sz w:val="22"/>
          <w:szCs w:val="22"/>
        </w:rPr>
        <w:t>GUIDING PRINCIPLES FOR DURABLE EXTRACTIVE CONTRACTS</w:t>
      </w:r>
      <w:bookmarkEnd w:id="6"/>
    </w:p>
    <w:p w:rsidR="00DC319B" w:rsidRPr="00DC319B" w:rsidRDefault="00DC319B" w:rsidP="00DC319B">
      <w:pPr>
        <w:pStyle w:val="Para1"/>
        <w:jc w:val="center"/>
      </w:pPr>
      <w:r>
        <w:t>(</w:t>
      </w:r>
      <w:r w:rsidR="00672918">
        <w:rPr>
          <w:i/>
        </w:rPr>
        <w:t xml:space="preserve">Advanced </w:t>
      </w:r>
      <w:r w:rsidRPr="00DC319B">
        <w:rPr>
          <w:i/>
        </w:rPr>
        <w:t>Draft for public consultation</w:t>
      </w:r>
      <w:r>
        <w:t>)</w:t>
      </w:r>
    </w:p>
    <w:p w:rsidR="00DC319B" w:rsidRPr="00DC319B" w:rsidRDefault="00DC319B" w:rsidP="00DC319B">
      <w:pPr>
        <w:pStyle w:val="Para1"/>
      </w:pPr>
    </w:p>
    <w:p w:rsidR="00DC319B" w:rsidRPr="00DC319B" w:rsidRDefault="00DC319B" w:rsidP="00DC319B">
      <w:pPr>
        <w:pStyle w:val="Para1"/>
      </w:pPr>
    </w:p>
    <w:p w:rsidR="0001340F" w:rsidRPr="0001340F" w:rsidRDefault="0001340F" w:rsidP="000252BD">
      <w:pPr>
        <w:pStyle w:val="Num-DocParagraph"/>
        <w:ind w:firstLine="426"/>
        <w:rPr>
          <w:b/>
          <w:i/>
        </w:rPr>
      </w:pPr>
      <w:r w:rsidRPr="0001340F">
        <w:rPr>
          <w:b/>
          <w:i/>
        </w:rPr>
        <w:t>Preamble</w:t>
      </w:r>
    </w:p>
    <w:p w:rsidR="008475A4" w:rsidRDefault="0001340F" w:rsidP="000252BD">
      <w:pPr>
        <w:pStyle w:val="Num-DocParagraph"/>
        <w:ind w:firstLine="426"/>
      </w:pPr>
      <w:r>
        <w:t xml:space="preserve">Recognising the value of balanced and therefore more durable extractive exploration and production contracts, these guiding principles have </w:t>
      </w:r>
      <w:r w:rsidR="008475A4" w:rsidRPr="00414A67">
        <w:t>t</w:t>
      </w:r>
      <w:r w:rsidR="008475A4">
        <w:t xml:space="preserve">he objective of </w:t>
      </w:r>
      <w:r w:rsidR="007E6BDA">
        <w:t xml:space="preserve">providing </w:t>
      </w:r>
      <w:r w:rsidR="008475A4">
        <w:rPr>
          <w:rFonts w:ascii="Times" w:hAnsi="Times" w:cs="Times"/>
          <w:lang w:eastAsia="en-US"/>
        </w:rPr>
        <w:t xml:space="preserve">a framework for the </w:t>
      </w:r>
      <w:r w:rsidR="005E77AF">
        <w:rPr>
          <w:rFonts w:ascii="Times" w:hAnsi="Times" w:cs="Times"/>
          <w:lang w:eastAsia="en-US"/>
        </w:rPr>
        <w:t xml:space="preserve">content and </w:t>
      </w:r>
      <w:r w:rsidR="008475A4">
        <w:rPr>
          <w:rFonts w:ascii="Times" w:hAnsi="Times" w:cs="Times"/>
          <w:lang w:eastAsia="en-US"/>
        </w:rPr>
        <w:t xml:space="preserve">negotiation of </w:t>
      </w:r>
      <w:r w:rsidR="005E77AF">
        <w:rPr>
          <w:rFonts w:ascii="Times" w:hAnsi="Times" w:cs="Times"/>
          <w:lang w:eastAsia="en-US"/>
        </w:rPr>
        <w:t xml:space="preserve">such balanced and </w:t>
      </w:r>
      <w:r w:rsidR="008475A4" w:rsidRPr="00974ABF">
        <w:t xml:space="preserve">durable </w:t>
      </w:r>
      <w:r w:rsidR="008475A4">
        <w:rPr>
          <w:rFonts w:ascii="Times" w:hAnsi="Times" w:cs="Times"/>
          <w:lang w:eastAsia="en-US"/>
        </w:rPr>
        <w:t>contracts</w:t>
      </w:r>
      <w:r w:rsidR="005E77AF">
        <w:rPr>
          <w:rFonts w:ascii="Times" w:hAnsi="Times" w:cs="Times"/>
          <w:lang w:eastAsia="en-US"/>
        </w:rPr>
        <w:t>.</w:t>
      </w:r>
      <w:r w:rsidR="008475A4">
        <w:rPr>
          <w:rFonts w:ascii="Times" w:hAnsi="Times" w:cs="Times"/>
          <w:lang w:eastAsia="en-US"/>
        </w:rPr>
        <w:t xml:space="preserve"> </w:t>
      </w:r>
      <w:r w:rsidR="005E77AF">
        <w:rPr>
          <w:rFonts w:ascii="Times" w:hAnsi="Times" w:cs="Times"/>
          <w:lang w:eastAsia="en-US"/>
        </w:rPr>
        <w:t>The</w:t>
      </w:r>
      <w:r w:rsidR="00E16D32">
        <w:rPr>
          <w:rFonts w:ascii="Times" w:hAnsi="Times" w:cs="Times"/>
          <w:lang w:eastAsia="en-US"/>
        </w:rPr>
        <w:t xml:space="preserve"> purpose of these principles is to assist </w:t>
      </w:r>
      <w:r w:rsidR="008475A4" w:rsidRPr="006C49B5">
        <w:t xml:space="preserve"> host governments and investors</w:t>
      </w:r>
      <w:r w:rsidR="008475A4">
        <w:t xml:space="preserve"> </w:t>
      </w:r>
      <w:r w:rsidR="005E77AF">
        <w:t xml:space="preserve">using them </w:t>
      </w:r>
      <w:r w:rsidR="008475A4" w:rsidRPr="006C49B5">
        <w:t xml:space="preserve">to </w:t>
      </w:r>
      <w:r w:rsidR="008475A4">
        <w:t xml:space="preserve">(i) </w:t>
      </w:r>
      <w:r w:rsidR="008475A4" w:rsidRPr="006C49B5">
        <w:t xml:space="preserve">structure </w:t>
      </w:r>
      <w:r w:rsidR="008475A4">
        <w:t xml:space="preserve">their on-going relationship in an integrated manner to promote </w:t>
      </w:r>
      <w:r w:rsidR="008475A4" w:rsidRPr="006C49B5">
        <w:t>long term</w:t>
      </w:r>
      <w:r w:rsidR="008475A4">
        <w:t xml:space="preserve"> sustainable development, while attracting and sustaining investment; (ii) foster </w:t>
      </w:r>
      <w:r w:rsidR="008475A4" w:rsidRPr="00974ABF">
        <w:t xml:space="preserve">alignment </w:t>
      </w:r>
      <w:r w:rsidR="008475A4">
        <w:t xml:space="preserve">of expectations and convergence </w:t>
      </w:r>
      <w:r w:rsidR="008475A4" w:rsidRPr="00974ABF">
        <w:t>towards</w:t>
      </w:r>
      <w:r w:rsidR="008475A4">
        <w:t xml:space="preserve"> agreed objectives; (iii) provide mechanisms that can accommodate and respond in a predictable manner to potentially significant changes in circumstances; (iv) build trust to strengthen mutual confidence and reduce risk for both parties; (v) and obtain full value from resource development through equitable, sustainable and mutually beneficial</w:t>
      </w:r>
      <w:r w:rsidR="0031793D">
        <w:t xml:space="preserve"> contracts and operations</w:t>
      </w:r>
      <w:r w:rsidR="008475A4">
        <w:t>,</w:t>
      </w:r>
      <w:r w:rsidR="008475A4" w:rsidRPr="00414A67">
        <w:t xml:space="preserve"> </w:t>
      </w:r>
    </w:p>
    <w:p w:rsidR="00402C8A" w:rsidRDefault="00393DB6" w:rsidP="00672918">
      <w:pPr>
        <w:pStyle w:val="Num-DocParagraph"/>
        <w:ind w:firstLine="426"/>
      </w:pPr>
      <w:r w:rsidRPr="00E167A4">
        <w:t xml:space="preserve">Recognising the importance </w:t>
      </w:r>
      <w:r w:rsidR="00E167A4" w:rsidRPr="00E167A4">
        <w:t>for developing countries to adopt</w:t>
      </w:r>
      <w:r w:rsidR="00402C8A">
        <w:t xml:space="preserve"> policy, legislative and regulatory</w:t>
      </w:r>
      <w:r w:rsidR="00E167A4">
        <w:t xml:space="preserve"> frameworks</w:t>
      </w:r>
      <w:r w:rsidR="00402C8A">
        <w:t xml:space="preserve"> setting out conditions of general application for extractive operations, </w:t>
      </w:r>
    </w:p>
    <w:p w:rsidR="008475A4" w:rsidRPr="00445A39" w:rsidRDefault="008475A4" w:rsidP="000252BD">
      <w:pPr>
        <w:pStyle w:val="Num-DocParagraph"/>
        <w:ind w:firstLine="426"/>
      </w:pPr>
      <w:r>
        <w:t>Considering that there exists a variety of systems to award oil, gas, and mining exploration and production rights</w:t>
      </w:r>
      <w:r w:rsidR="00C10EE0">
        <w:t xml:space="preserve">, </w:t>
      </w:r>
      <w:r>
        <w:t xml:space="preserve"> these principles are without prejudice to the choice of the preferred allocation mechanism nor </w:t>
      </w:r>
      <w:r w:rsidR="00C10EE0">
        <w:t xml:space="preserve">do they </w:t>
      </w:r>
      <w:r>
        <w:t>imply a preference for contractual regimes</w:t>
      </w:r>
      <w:r w:rsidR="00C10EE0">
        <w:t xml:space="preserve"> versus</w:t>
      </w:r>
      <w:r w:rsidR="00E16D32">
        <w:t xml:space="preserve"> legal systems providing for non-negotiable provisions</w:t>
      </w:r>
      <w:r>
        <w:t>,</w:t>
      </w:r>
    </w:p>
    <w:p w:rsidR="008475A4" w:rsidRDefault="008475A4" w:rsidP="000252BD">
      <w:pPr>
        <w:pStyle w:val="Num-DocParagraph"/>
        <w:ind w:firstLine="425"/>
      </w:pPr>
      <w:r>
        <w:t>Recognising that even in jurisdictions where well-developed legal regimes govern the relationship between host governments and investors and regulate the great majority if not all aspects of oil and gas, and mineral exploration and production, the domestic legal framework may still leave room for negotiable elements,</w:t>
      </w:r>
    </w:p>
    <w:p w:rsidR="0065171D" w:rsidRDefault="008475A4" w:rsidP="000252BD">
      <w:pPr>
        <w:pStyle w:val="Num-DocParagraph"/>
        <w:ind w:firstLine="425"/>
      </w:pPr>
      <w:r>
        <w:t xml:space="preserve">Recognising that in </w:t>
      </w:r>
      <w:r w:rsidR="00A470CD">
        <w:t xml:space="preserve">most </w:t>
      </w:r>
      <w:r>
        <w:t xml:space="preserve">countries </w:t>
      </w:r>
      <w:r w:rsidRPr="009A1EFB">
        <w:t xml:space="preserve">the domestic legal framework </w:t>
      </w:r>
      <w:r>
        <w:t>for oil and gas, and mineral exploration and production</w:t>
      </w:r>
      <w:r w:rsidRPr="009A1EFB">
        <w:t xml:space="preserve"> may leav</w:t>
      </w:r>
      <w:r w:rsidR="00A470CD">
        <w:t>e</w:t>
      </w:r>
      <w:r w:rsidRPr="009A1EFB">
        <w:t xml:space="preserve"> room for</w:t>
      </w:r>
      <w:r w:rsidR="00A470CD">
        <w:t xml:space="preserve"> some negotiations</w:t>
      </w:r>
      <w:r>
        <w:t xml:space="preserve">, the Negotiation Support Forum, hosted by the OECD Policy Dialogue on Natural Resource-based Development, has developed the </w:t>
      </w:r>
      <w:r w:rsidRPr="00D37833">
        <w:t>fol</w:t>
      </w:r>
      <w:r>
        <w:t>lowing non-binding principles</w:t>
      </w:r>
      <w:r w:rsidR="00867263">
        <w:t xml:space="preserve"> </w:t>
      </w:r>
      <w:r>
        <w:t xml:space="preserve">through inclusive multi-stakeholder dialogues </w:t>
      </w:r>
      <w:r w:rsidR="00C10EE0">
        <w:t xml:space="preserve">between </w:t>
      </w:r>
      <w:r>
        <w:t>December 2015</w:t>
      </w:r>
      <w:r w:rsidR="00C10EE0">
        <w:t xml:space="preserve"> and </w:t>
      </w:r>
      <w:r w:rsidR="00867263">
        <w:t xml:space="preserve">November </w:t>
      </w:r>
      <w:r w:rsidR="00C10EE0">
        <w:t>2017</w:t>
      </w:r>
      <w:r>
        <w:t xml:space="preserve">. The Principles </w:t>
      </w:r>
      <w:r w:rsidR="00C10EE0">
        <w:t xml:space="preserve">and supporting commentary </w:t>
      </w:r>
      <w:r>
        <w:t>aim to</w:t>
      </w:r>
      <w:r w:rsidRPr="00D37833">
        <w:t xml:space="preserve"> provide guidance for </w:t>
      </w:r>
      <w:r w:rsidR="00C10EE0">
        <w:t xml:space="preserve">the content and </w:t>
      </w:r>
      <w:r w:rsidRPr="00D37833">
        <w:t xml:space="preserve">negotiation </w:t>
      </w:r>
      <w:r>
        <w:t xml:space="preserve">of </w:t>
      </w:r>
      <w:r w:rsidRPr="00D37833">
        <w:t>mutually beneficial</w:t>
      </w:r>
      <w:r w:rsidR="00C10EE0">
        <w:t>, sustainable and therefore enduring</w:t>
      </w:r>
      <w:r w:rsidRPr="00D37833">
        <w:t xml:space="preserve"> extractive contracts</w:t>
      </w:r>
      <w:r>
        <w:t xml:space="preserve"> and </w:t>
      </w:r>
      <w:r w:rsidR="00C10EE0">
        <w:t xml:space="preserve">thus reduce or eliminate the </w:t>
      </w:r>
      <w:r w:rsidR="00A470CD">
        <w:t xml:space="preserve">risk of disputes and </w:t>
      </w:r>
      <w:r>
        <w:t>renegotiation of contract terms over time</w:t>
      </w:r>
      <w:r w:rsidR="0065171D">
        <w:t>,</w:t>
      </w:r>
    </w:p>
    <w:p w:rsidR="008475A4" w:rsidRDefault="0065171D" w:rsidP="000252BD">
      <w:pPr>
        <w:pStyle w:val="Num-DocParagraph"/>
        <w:ind w:firstLine="425"/>
      </w:pPr>
      <w:r>
        <w:t>Re</w:t>
      </w:r>
      <w:r w:rsidR="00A80F04">
        <w:t>c</w:t>
      </w:r>
      <w:r w:rsidR="00EA70D6">
        <w:t xml:space="preserve">ognising the </w:t>
      </w:r>
      <w:r w:rsidR="00672918">
        <w:t xml:space="preserve">trend towards </w:t>
      </w:r>
      <w:r w:rsidR="00EA70D6">
        <w:t xml:space="preserve">increased transparency and reporting in the extractives sector (e.g. disclosure of payments made </w:t>
      </w:r>
      <w:r w:rsidR="00672918">
        <w:t xml:space="preserve">by extractive companies </w:t>
      </w:r>
      <w:r w:rsidR="00EA70D6">
        <w:t>to governments, publication of signed contracts, and disclosure of beneficial ownership information)</w:t>
      </w:r>
      <w:r w:rsidR="00A80F04">
        <w:t>,</w:t>
      </w:r>
      <w:r w:rsidR="00672918">
        <w:t xml:space="preserve"> the parties are encouraged to ensure that</w:t>
      </w:r>
      <w:r w:rsidR="00EA70D6">
        <w:t xml:space="preserve"> the contract </w:t>
      </w:r>
      <w:r>
        <w:t>terms are robust and able to withstand public and commercial scrutiny</w:t>
      </w:r>
      <w:r w:rsidR="00B43395">
        <w:t xml:space="preserve">. During the negotiation process, the parties should anticipate that, consistent with domestic law, host governments may publish all or parts of </w:t>
      </w:r>
      <w:r w:rsidR="00B43395">
        <w:lastRenderedPageBreak/>
        <w:t>their signed contracts, with due regard taken to protecting proprietary or commercially sensitive information.</w:t>
      </w:r>
      <w:r w:rsidR="00A80F04">
        <w:rPr>
          <w:rStyle w:val="EndnoteReference"/>
        </w:rPr>
        <w:endnoteReference w:id="2"/>
      </w:r>
    </w:p>
    <w:p w:rsidR="006A30DF" w:rsidRDefault="006A30DF" w:rsidP="006A30DF">
      <w:pPr>
        <w:pStyle w:val="CommentText"/>
        <w:ind w:firstLine="425"/>
      </w:pPr>
      <w:r>
        <w:t>Emphasising the complementarity between these guiding principles and the policy tools developed as part of the OECD Policy Dialogue on Natural Resource-based Development to foster collaborative strategies for in-country shared value creation, including through mutually beneficial agreements</w:t>
      </w:r>
      <w:r>
        <w:rPr>
          <w:rStyle w:val="EndnoteReference"/>
        </w:rPr>
        <w:endnoteReference w:id="3"/>
      </w:r>
      <w:r>
        <w:t>, to identify, prevent and address heightened corruption risk, where mineral, oil and gas rights are awarded through negotiated deals</w:t>
      </w:r>
      <w:r>
        <w:rPr>
          <w:rStyle w:val="EndnoteReference"/>
        </w:rPr>
        <w:endnoteReference w:id="4"/>
      </w:r>
      <w:r>
        <w:t xml:space="preserve">; and to enable effective government engagement in contract negotiations, including through access to specialist expertise and advice </w:t>
      </w:r>
      <w:r>
        <w:rPr>
          <w:rStyle w:val="EndnoteReference"/>
        </w:rPr>
        <w:endnoteReference w:id="5"/>
      </w:r>
      <w:r>
        <w:t>;</w:t>
      </w:r>
    </w:p>
    <w:p w:rsidR="00672918" w:rsidRDefault="00672918" w:rsidP="006A30DF">
      <w:pPr>
        <w:pStyle w:val="CommentText"/>
        <w:ind w:firstLine="425"/>
      </w:pPr>
    </w:p>
    <w:p w:rsidR="008475A4" w:rsidRDefault="008475A4" w:rsidP="000252BD">
      <w:pPr>
        <w:tabs>
          <w:tab w:val="clear" w:pos="850"/>
          <w:tab w:val="clear" w:pos="1191"/>
          <w:tab w:val="clear" w:pos="1531"/>
        </w:tabs>
        <w:autoSpaceDE w:val="0"/>
        <w:autoSpaceDN w:val="0"/>
        <w:adjustRightInd w:val="0"/>
        <w:spacing w:after="240"/>
        <w:ind w:firstLine="426"/>
      </w:pPr>
      <w:r w:rsidRPr="00616B68">
        <w:t>The Negotiation Support Forum calls upon States, investors, negotiation support providers, bilate</w:t>
      </w:r>
      <w:r>
        <w:t>ral an</w:t>
      </w:r>
      <w:r w:rsidRPr="00616B68">
        <w:t xml:space="preserve">d multilateral institutions </w:t>
      </w:r>
      <w:r>
        <w:t xml:space="preserve">to consider </w:t>
      </w:r>
      <w:r w:rsidRPr="00616B68">
        <w:t xml:space="preserve">the following principles, and </w:t>
      </w:r>
      <w:r>
        <w:t xml:space="preserve">actively </w:t>
      </w:r>
      <w:r w:rsidRPr="00616B68">
        <w:t xml:space="preserve">promote </w:t>
      </w:r>
      <w:r>
        <w:t>their application in the negotiations of extractive contracts</w:t>
      </w:r>
      <w:r w:rsidRPr="00616B68">
        <w:t>.</w:t>
      </w:r>
    </w:p>
    <w:p w:rsidR="0001340F" w:rsidRPr="0001340F" w:rsidRDefault="0001340F" w:rsidP="000252BD">
      <w:pPr>
        <w:tabs>
          <w:tab w:val="clear" w:pos="850"/>
          <w:tab w:val="clear" w:pos="1191"/>
          <w:tab w:val="clear" w:pos="1531"/>
        </w:tabs>
        <w:autoSpaceDE w:val="0"/>
        <w:autoSpaceDN w:val="0"/>
        <w:adjustRightInd w:val="0"/>
        <w:spacing w:after="240"/>
        <w:ind w:firstLine="426"/>
        <w:rPr>
          <w:b/>
          <w:i/>
        </w:rPr>
      </w:pPr>
      <w:r w:rsidRPr="0001340F">
        <w:rPr>
          <w:b/>
          <w:i/>
        </w:rPr>
        <w:t>Guiding Principles</w:t>
      </w:r>
    </w:p>
    <w:p w:rsidR="008475A4" w:rsidRDefault="008475A4" w:rsidP="00DB2C8C">
      <w:pPr>
        <w:pStyle w:val="BlockText"/>
        <w:spacing w:after="240"/>
        <w:ind w:left="993" w:right="936" w:hanging="567"/>
      </w:pPr>
      <w:r w:rsidRPr="00BE118F">
        <w:rPr>
          <w:b/>
        </w:rPr>
        <w:t>I.</w:t>
      </w:r>
      <w:r>
        <w:tab/>
        <w:t xml:space="preserve">Durable </w:t>
      </w:r>
      <w:r w:rsidRPr="00F84F89">
        <w:t xml:space="preserve">extractive contracts </w:t>
      </w:r>
      <w:r>
        <w:t xml:space="preserve">are aligned with the long-term </w:t>
      </w:r>
      <w:r w:rsidRPr="00F84F89">
        <w:t>vision</w:t>
      </w:r>
      <w:r w:rsidR="008142B0">
        <w:t xml:space="preserve"> and strategy,</w:t>
      </w:r>
      <w:r>
        <w:t xml:space="preserve"> defined by the host government on how the </w:t>
      </w:r>
      <w:r w:rsidRPr="0025185B">
        <w:rPr>
          <w:lang w:eastAsia="de-DE"/>
        </w:rPr>
        <w:t xml:space="preserve">extractive sector can fit into and contribute to broader </w:t>
      </w:r>
      <w:r>
        <w:rPr>
          <w:lang w:eastAsia="de-DE"/>
        </w:rPr>
        <w:t xml:space="preserve">sustainable </w:t>
      </w:r>
      <w:r w:rsidRPr="0025185B">
        <w:rPr>
          <w:lang w:eastAsia="de-DE"/>
        </w:rPr>
        <w:t xml:space="preserve">development </w:t>
      </w:r>
      <w:r>
        <w:rPr>
          <w:lang w:eastAsia="de-DE"/>
        </w:rPr>
        <w:t>objectives</w:t>
      </w:r>
      <w:r>
        <w:t xml:space="preserve">. </w:t>
      </w:r>
    </w:p>
    <w:p w:rsidR="008475A4" w:rsidRPr="00D90799" w:rsidRDefault="008475A4" w:rsidP="00DB2C8C">
      <w:pPr>
        <w:pStyle w:val="BlockText"/>
        <w:spacing w:after="240"/>
        <w:ind w:left="993" w:right="936" w:hanging="567"/>
      </w:pPr>
      <w:r w:rsidRPr="00D90799">
        <w:rPr>
          <w:b/>
        </w:rPr>
        <w:t>II.</w:t>
      </w:r>
      <w:r>
        <w:tab/>
      </w:r>
      <w:r w:rsidRPr="00D90799">
        <w:t xml:space="preserve">Durable extractive contracts are anchored in a </w:t>
      </w:r>
      <w:r w:rsidR="00A470CD">
        <w:t>transparent</w:t>
      </w:r>
      <w:r w:rsidR="00A470CD" w:rsidRPr="00D90799">
        <w:t xml:space="preserve"> </w:t>
      </w:r>
      <w:r w:rsidRPr="00D90799">
        <w:t xml:space="preserve">quality long-term </w:t>
      </w:r>
      <w:r w:rsidR="00E1512F">
        <w:t xml:space="preserve">relationship </w:t>
      </w:r>
      <w:r w:rsidR="008142B0">
        <w:t xml:space="preserve">and operational partnership </w:t>
      </w:r>
      <w:r w:rsidRPr="00D90799">
        <w:t>between host governments, investors and communities</w:t>
      </w:r>
      <w:r>
        <w:t>,</w:t>
      </w:r>
      <w:r w:rsidRPr="00D90799">
        <w:t xml:space="preserve"> </w:t>
      </w:r>
      <w:r>
        <w:t>to</w:t>
      </w:r>
      <w:r w:rsidRPr="00D90799">
        <w:t xml:space="preserve"> fulfil agreed and understood objectives</w:t>
      </w:r>
      <w:r>
        <w:t xml:space="preserve"> based on shared and realistic expectations </w:t>
      </w:r>
      <w:r w:rsidR="00A80F04">
        <w:t xml:space="preserve">that are </w:t>
      </w:r>
      <w:r>
        <w:t>managed throughout the lifecycle of the project</w:t>
      </w:r>
      <w:r w:rsidRPr="00D90799">
        <w:t>.</w:t>
      </w:r>
    </w:p>
    <w:p w:rsidR="008475A4" w:rsidRDefault="008475A4" w:rsidP="00DB2C8C">
      <w:pPr>
        <w:pStyle w:val="BlockText"/>
        <w:tabs>
          <w:tab w:val="left" w:pos="1985"/>
        </w:tabs>
        <w:ind w:left="993" w:right="936" w:hanging="567"/>
      </w:pPr>
      <w:r w:rsidRPr="006173A4">
        <w:rPr>
          <w:b/>
        </w:rPr>
        <w:t>II</w:t>
      </w:r>
      <w:r>
        <w:rPr>
          <w:b/>
        </w:rPr>
        <w:t>I</w:t>
      </w:r>
      <w:r w:rsidRPr="006173A4">
        <w:rPr>
          <w:b/>
        </w:rPr>
        <w:t>.</w:t>
      </w:r>
      <w:r w:rsidRPr="006173A4">
        <w:rPr>
          <w:b/>
        </w:rPr>
        <w:tab/>
      </w:r>
      <w:r w:rsidRPr="006E3D24">
        <w:t xml:space="preserve">Durable </w:t>
      </w:r>
      <w:r w:rsidRPr="001151B7">
        <w:t>extractive contracts</w:t>
      </w:r>
      <w:r>
        <w:t xml:space="preserve"> </w:t>
      </w:r>
      <w:r>
        <w:rPr>
          <w:lang w:val="en"/>
        </w:rPr>
        <w:t xml:space="preserve">balance </w:t>
      </w:r>
      <w:r>
        <w:t>the legitimate interests of host governments, investors</w:t>
      </w:r>
      <w:r w:rsidR="00E1512F">
        <w:t>, and communities, with due account taken</w:t>
      </w:r>
      <w:r w:rsidR="00867263">
        <w:t>, where relevant,</w:t>
      </w:r>
      <w:r w:rsidR="00E1512F">
        <w:t xml:space="preserve"> of the specific rights of indigenous peoples</w:t>
      </w:r>
      <w:r w:rsidR="00E21D1C">
        <w:t xml:space="preserve"> recognised</w:t>
      </w:r>
      <w:r w:rsidR="00DE48A2">
        <w:t xml:space="preserve"> under applicable international and national law</w:t>
      </w:r>
      <w:r>
        <w:t xml:space="preserve">. </w:t>
      </w:r>
    </w:p>
    <w:p w:rsidR="008475A4" w:rsidRDefault="008475A4" w:rsidP="00DB2C8C">
      <w:pPr>
        <w:pStyle w:val="BlockText"/>
        <w:spacing w:after="240"/>
        <w:ind w:left="993" w:right="936" w:hanging="567"/>
      </w:pPr>
      <w:r>
        <w:rPr>
          <w:b/>
        </w:rPr>
        <w:t>IV</w:t>
      </w:r>
      <w:r w:rsidRPr="00A16BA1">
        <w:rPr>
          <w:b/>
        </w:rPr>
        <w:t>.</w:t>
      </w:r>
      <w:r w:rsidRPr="00A16BA1">
        <w:tab/>
      </w:r>
      <w:r>
        <w:t xml:space="preserve">Durable extractive contracts seek to maximise overall </w:t>
      </w:r>
      <w:r w:rsidR="0031793D">
        <w:t xml:space="preserve">value, including </w:t>
      </w:r>
      <w:r>
        <w:t xml:space="preserve">economic, social and environmental </w:t>
      </w:r>
      <w:r w:rsidR="0031793D">
        <w:t xml:space="preserve">outcomes </w:t>
      </w:r>
      <w:r>
        <w:t xml:space="preserve">to be drawn from </w:t>
      </w:r>
      <w:r>
        <w:rPr>
          <w:lang w:val="en"/>
        </w:rPr>
        <w:t xml:space="preserve">the development of the host country’s resources. </w:t>
      </w:r>
      <w:r>
        <w:t>To the extent not covered by the applicable law, d</w:t>
      </w:r>
      <w:r w:rsidRPr="00A16BA1">
        <w:t xml:space="preserve">urable extractive contracts provide for </w:t>
      </w:r>
      <w:r w:rsidR="00A80F04">
        <w:t xml:space="preserve">the </w:t>
      </w:r>
      <w:r w:rsidRPr="00A16BA1">
        <w:t>identif</w:t>
      </w:r>
      <w:r>
        <w:t xml:space="preserve">ication </w:t>
      </w:r>
      <w:r w:rsidRPr="00A16BA1">
        <w:t>and manage</w:t>
      </w:r>
      <w:r>
        <w:t>ment of</w:t>
      </w:r>
      <w:r w:rsidRPr="00A16BA1">
        <w:t xml:space="preserve"> </w:t>
      </w:r>
      <w:r w:rsidRPr="003E2078">
        <w:t xml:space="preserve">potential adverse environmental, </w:t>
      </w:r>
      <w:r w:rsidR="00E1512F">
        <w:t xml:space="preserve">health, safety </w:t>
      </w:r>
      <w:r w:rsidRPr="003E2078">
        <w:t>and social impacts</w:t>
      </w:r>
      <w:r>
        <w:t xml:space="preserve"> </w:t>
      </w:r>
      <w:r w:rsidRPr="003E2078">
        <w:t>of the extractive project</w:t>
      </w:r>
      <w:r w:rsidRPr="00A16BA1">
        <w:t xml:space="preserve"> </w:t>
      </w:r>
      <w:r>
        <w:t xml:space="preserve">and </w:t>
      </w:r>
      <w:r w:rsidRPr="00A16BA1">
        <w:t>establish clear roles and responsibilities for the host government and the investor for the prevention, mitigation and remediation of those impacts</w:t>
      </w:r>
      <w:r>
        <w:t>, in consultation with affected communities</w:t>
      </w:r>
      <w:r w:rsidRPr="00A16BA1">
        <w:t xml:space="preserve">.  </w:t>
      </w:r>
    </w:p>
    <w:p w:rsidR="008475A4" w:rsidRDefault="008475A4" w:rsidP="00DB2C8C">
      <w:pPr>
        <w:pStyle w:val="BlockText"/>
        <w:spacing w:after="240"/>
        <w:ind w:left="993" w:right="936" w:hanging="567"/>
      </w:pPr>
      <w:r>
        <w:rPr>
          <w:b/>
        </w:rPr>
        <w:t>V</w:t>
      </w:r>
      <w:r w:rsidRPr="001151B7">
        <w:rPr>
          <w:b/>
        </w:rPr>
        <w:t>.</w:t>
      </w:r>
      <w:r w:rsidRPr="001151B7">
        <w:rPr>
          <w:b/>
        </w:rPr>
        <w:tab/>
      </w:r>
      <w:r w:rsidRPr="006E3D24">
        <w:t xml:space="preserve">Durable </w:t>
      </w:r>
      <w:r w:rsidR="00672918">
        <w:t>extractive contracts are</w:t>
      </w:r>
      <w:r w:rsidR="008142B0">
        <w:t xml:space="preserve"> negotiated and based </w:t>
      </w:r>
      <w:r>
        <w:t>on continuing sharing of key financial and technical data to build a common understanding of</w:t>
      </w:r>
      <w:r w:rsidR="00A470CD">
        <w:t xml:space="preserve"> the </w:t>
      </w:r>
      <w:r w:rsidR="00D75846">
        <w:t xml:space="preserve">performance </w:t>
      </w:r>
      <w:r w:rsidR="00A470CD">
        <w:t>and of</w:t>
      </w:r>
      <w:r>
        <w:t xml:space="preserve"> </w:t>
      </w:r>
      <w:r w:rsidR="00A470CD">
        <w:t xml:space="preserve">the main risks and opportunities </w:t>
      </w:r>
      <w:r w:rsidR="00E1512F">
        <w:t xml:space="preserve">of the project </w:t>
      </w:r>
      <w:r>
        <w:t>throughout its life-cycle.</w:t>
      </w:r>
    </w:p>
    <w:p w:rsidR="008475A4" w:rsidRDefault="008475A4" w:rsidP="00DB2C8C">
      <w:pPr>
        <w:pStyle w:val="BlockText"/>
        <w:tabs>
          <w:tab w:val="left" w:pos="1985"/>
        </w:tabs>
        <w:spacing w:after="240"/>
        <w:ind w:left="993" w:right="936" w:hanging="567"/>
      </w:pPr>
      <w:r>
        <w:rPr>
          <w:b/>
        </w:rPr>
        <w:t>VI</w:t>
      </w:r>
      <w:r w:rsidRPr="00A016A1">
        <w:rPr>
          <w:b/>
        </w:rPr>
        <w:t>.</w:t>
      </w:r>
      <w:r>
        <w:rPr>
          <w:b/>
        </w:rPr>
        <w:tab/>
      </w:r>
      <w:r>
        <w:t xml:space="preserve">Durable </w:t>
      </w:r>
      <w:r w:rsidRPr="001151B7">
        <w:t xml:space="preserve">extractive contracts </w:t>
      </w:r>
      <w:r>
        <w:t xml:space="preserve">operate in a sound investment and business climate and </w:t>
      </w:r>
      <w:r w:rsidR="00A80F04">
        <w:t xml:space="preserve">should be </w:t>
      </w:r>
      <w:r>
        <w:t xml:space="preserve">underpinned by </w:t>
      </w:r>
      <w:r w:rsidRPr="001151B7">
        <w:t>a fair, transparent</w:t>
      </w:r>
      <w:r>
        <w:t xml:space="preserve"> and</w:t>
      </w:r>
      <w:r w:rsidRPr="001151B7">
        <w:t xml:space="preserve"> clear </w:t>
      </w:r>
      <w:r>
        <w:t xml:space="preserve">legal and </w:t>
      </w:r>
      <w:r w:rsidRPr="001151B7">
        <w:t>regulatory framework</w:t>
      </w:r>
      <w:r>
        <w:t xml:space="preserve">. </w:t>
      </w:r>
    </w:p>
    <w:p w:rsidR="008475A4" w:rsidRPr="001151B7" w:rsidRDefault="008475A4" w:rsidP="00DB2C8C">
      <w:pPr>
        <w:pStyle w:val="BlockText"/>
        <w:tabs>
          <w:tab w:val="left" w:pos="1985"/>
        </w:tabs>
        <w:spacing w:after="240"/>
        <w:ind w:left="993" w:right="936" w:hanging="567"/>
      </w:pPr>
      <w:r>
        <w:rPr>
          <w:b/>
        </w:rPr>
        <w:t>VII</w:t>
      </w:r>
      <w:r w:rsidRPr="001151B7">
        <w:rPr>
          <w:b/>
        </w:rPr>
        <w:t>.</w:t>
      </w:r>
      <w:r>
        <w:tab/>
      </w:r>
      <w:r w:rsidRPr="006E3D24">
        <w:t xml:space="preserve">Durable </w:t>
      </w:r>
      <w:r w:rsidRPr="00F84F89">
        <w:t>extractive contracts</w:t>
      </w:r>
      <w:r>
        <w:t xml:space="preserve"> are </w:t>
      </w:r>
      <w:r w:rsidRPr="008D4AED">
        <w:t>consistent with applicable laws</w:t>
      </w:r>
      <w:r>
        <w:t>,</w:t>
      </w:r>
      <w:r w:rsidRPr="008D4AED">
        <w:t xml:space="preserve"> </w:t>
      </w:r>
      <w:r>
        <w:t xml:space="preserve">and anticipate that </w:t>
      </w:r>
      <w:r w:rsidRPr="008D4AED">
        <w:t xml:space="preserve">host governments </w:t>
      </w:r>
      <w:r>
        <w:t xml:space="preserve">may </w:t>
      </w:r>
      <w:r w:rsidRPr="008D4AED">
        <w:t xml:space="preserve">introduce laws, regulations or policies that: (a) are </w:t>
      </w:r>
      <w:r>
        <w:t xml:space="preserve">not arbitrary; (b) </w:t>
      </w:r>
      <w:r w:rsidRPr="008D4AED">
        <w:t>reflect international</w:t>
      </w:r>
      <w:r w:rsidR="00CB43A8">
        <w:t>ly recognised</w:t>
      </w:r>
      <w:r w:rsidRPr="008D4AED">
        <w:t xml:space="preserve"> standards</w:t>
      </w:r>
      <w:r w:rsidR="00CB43A8">
        <w:t xml:space="preserve"> </w:t>
      </w:r>
      <w:r w:rsidR="008A2AC6">
        <w:t>and/</w:t>
      </w:r>
      <w:r w:rsidR="00CB43A8">
        <w:t xml:space="preserve">or </w:t>
      </w:r>
      <w:r w:rsidR="00A86939" w:rsidRPr="00BE3AA6">
        <w:t>good practices generally accepted from time to time in the industry</w:t>
      </w:r>
      <w:r>
        <w:t xml:space="preserve">; with due regard taken of the consequences of any </w:t>
      </w:r>
      <w:r w:rsidR="003B3346">
        <w:t xml:space="preserve">substantive </w:t>
      </w:r>
      <w:r>
        <w:t xml:space="preserve">adverse impact on the </w:t>
      </w:r>
      <w:r w:rsidR="00A86939">
        <w:t xml:space="preserve">performance of the </w:t>
      </w:r>
      <w:r>
        <w:t>project.</w:t>
      </w:r>
    </w:p>
    <w:p w:rsidR="008475A4" w:rsidRDefault="008475A4" w:rsidP="00DB2C8C">
      <w:pPr>
        <w:pStyle w:val="BlockText"/>
        <w:spacing w:before="240" w:after="240"/>
        <w:ind w:left="993" w:right="936" w:hanging="567"/>
        <w:rPr>
          <w:rFonts w:ascii="TimesNewRomanPSMT" w:hAnsi="TimesNewRomanPSMT" w:cs="TimesNewRomanPSMT"/>
          <w:sz w:val="20"/>
        </w:rPr>
      </w:pPr>
      <w:r>
        <w:rPr>
          <w:b/>
        </w:rPr>
        <w:lastRenderedPageBreak/>
        <w:t>VIII</w:t>
      </w:r>
      <w:r w:rsidRPr="00290529">
        <w:rPr>
          <w:b/>
        </w:rPr>
        <w:t>.</w:t>
      </w:r>
      <w:r>
        <w:tab/>
      </w:r>
      <w:r w:rsidRPr="006E3D24">
        <w:t xml:space="preserve">Durable </w:t>
      </w:r>
      <w:r w:rsidRPr="00D41499">
        <w:t xml:space="preserve">extractive contracts </w:t>
      </w:r>
      <w:r>
        <w:t xml:space="preserve">are underpinned by a fiscal </w:t>
      </w:r>
      <w:r w:rsidRPr="00601E33">
        <w:t>system</w:t>
      </w:r>
      <w:r>
        <w:t xml:space="preserve"> that provides </w:t>
      </w:r>
      <w:r w:rsidR="004550C4">
        <w:t xml:space="preserve">for a fair sharing of economic rent between the investor and </w:t>
      </w:r>
      <w:r w:rsidR="00D75846">
        <w:t xml:space="preserve">the </w:t>
      </w:r>
      <w:r w:rsidR="004550C4">
        <w:t>host government, taking into consideration the risks and potential rewards. A regime with automatic adjustments for the government take to prevailing market conditions (variable with commodity price, production volume, resource quality, or project profitability) reduces the incentives for eit</w:t>
      </w:r>
      <w:r w:rsidR="00D75846">
        <w:t>her party to seek re-negotiations</w:t>
      </w:r>
      <w:r w:rsidR="004550C4">
        <w:t xml:space="preserve"> of terms. Due regard should be given to providing assurance of fiscal receipts </w:t>
      </w:r>
      <w:r>
        <w:t>to the host government for each year of commercial resource production</w:t>
      </w:r>
      <w:r w:rsidR="004550C4">
        <w:t>.</w:t>
      </w:r>
      <w:r w:rsidRPr="00601E33">
        <w:rPr>
          <w:rFonts w:ascii="TimesNewRomanPSMT" w:hAnsi="TimesNewRomanPSMT" w:cs="TimesNewRomanPSMT"/>
          <w:sz w:val="20"/>
        </w:rPr>
        <w:t xml:space="preserve"> </w:t>
      </w:r>
    </w:p>
    <w:p w:rsidR="008475A4" w:rsidRDefault="008475A4" w:rsidP="000252BD">
      <w:pPr>
        <w:pStyle w:val="BlockText"/>
        <w:spacing w:before="240" w:after="240"/>
        <w:ind w:left="0" w:right="-30" w:firstLine="426"/>
      </w:pPr>
      <w:r w:rsidRPr="00763E6C">
        <w:t xml:space="preserve">These principles are not presented in hierarchical order. They interact with each other and should be considered together. </w:t>
      </w:r>
      <w:r>
        <w:t xml:space="preserve">They are high-level in nature and should be read in conjunction with relevant detailed international guidance on specific topics. </w:t>
      </w:r>
      <w:r w:rsidRPr="00763E6C">
        <w:t>They can serve as a common reference for extractive contract negotiations, in accordance with applicable laws and international commitments, and taking into account national, and broader, sustainable development objectives and priorities.</w:t>
      </w:r>
    </w:p>
    <w:p w:rsidR="008475A4" w:rsidRPr="000252BD" w:rsidRDefault="008475A4" w:rsidP="00AB6853">
      <w:pPr>
        <w:tabs>
          <w:tab w:val="clear" w:pos="850"/>
          <w:tab w:val="clear" w:pos="1191"/>
          <w:tab w:val="clear" w:pos="1531"/>
        </w:tabs>
        <w:autoSpaceDE w:val="0"/>
        <w:autoSpaceDN w:val="0"/>
        <w:adjustRightInd w:val="0"/>
        <w:spacing w:before="240" w:after="240"/>
        <w:ind w:firstLine="426"/>
      </w:pPr>
      <w:r>
        <w:t xml:space="preserve">These principles </w:t>
      </w:r>
      <w:r w:rsidRPr="007A38E5">
        <w:t xml:space="preserve">will be reviewed by the Negotiation Support Forum </w:t>
      </w:r>
      <w:r>
        <w:t>every three years based on experience with their</w:t>
      </w:r>
      <w:r w:rsidRPr="007A38E5">
        <w:t xml:space="preserve"> use </w:t>
      </w:r>
      <w:r>
        <w:t>in actual negotiations to ensure their continuous relevance and broad uptake and strengthen their</w:t>
      </w:r>
      <w:r w:rsidRPr="007A38E5">
        <w:t xml:space="preserve"> effectiveness over time.</w:t>
      </w:r>
    </w:p>
    <w:p w:rsidR="008475A4" w:rsidRDefault="008475A4" w:rsidP="00EB02C7">
      <w:pPr>
        <w:pStyle w:val="Heading1"/>
        <w:numPr>
          <w:ilvl w:val="0"/>
          <w:numId w:val="0"/>
        </w:numPr>
        <w:spacing w:before="240" w:after="240"/>
        <w:jc w:val="left"/>
        <w:rPr>
          <w:color w:val="auto"/>
          <w:sz w:val="22"/>
          <w:szCs w:val="22"/>
        </w:rPr>
      </w:pPr>
      <w:bookmarkStart w:id="7" w:name="_Toc483918889"/>
      <w:r w:rsidRPr="00EB02C7">
        <w:rPr>
          <w:color w:val="auto"/>
          <w:sz w:val="22"/>
          <w:szCs w:val="22"/>
        </w:rPr>
        <w:t>Commentary on Guiding Principle I</w:t>
      </w:r>
      <w:bookmarkEnd w:id="7"/>
      <w:r w:rsidRPr="00EB02C7">
        <w:rPr>
          <w:color w:val="auto"/>
          <w:sz w:val="22"/>
          <w:szCs w:val="22"/>
        </w:rPr>
        <w:t xml:space="preserve"> </w:t>
      </w:r>
    </w:p>
    <w:p w:rsidR="00A80F04" w:rsidRPr="00A80F04" w:rsidRDefault="00A80F04" w:rsidP="008142B0">
      <w:pPr>
        <w:pStyle w:val="BlockText"/>
        <w:spacing w:after="240"/>
        <w:ind w:left="0" w:right="-57"/>
      </w:pPr>
      <w:r w:rsidRPr="00A80F04">
        <w:rPr>
          <w:b/>
        </w:rPr>
        <w:t>Durable extractive contracts are aligned with the long-term vision</w:t>
      </w:r>
      <w:r w:rsidR="008142B0">
        <w:rPr>
          <w:b/>
        </w:rPr>
        <w:t xml:space="preserve"> and strategy,</w:t>
      </w:r>
      <w:r w:rsidRPr="00A80F04">
        <w:rPr>
          <w:b/>
        </w:rPr>
        <w:t xml:space="preserve"> defined by the host government on how the </w:t>
      </w:r>
      <w:r w:rsidRPr="00A80F04">
        <w:rPr>
          <w:b/>
          <w:lang w:eastAsia="de-DE"/>
        </w:rPr>
        <w:t>extractive sector can fit into and contribute to broader sustainable development objectives</w:t>
      </w:r>
      <w:r w:rsidRPr="00A80F04">
        <w:rPr>
          <w:b/>
        </w:rPr>
        <w:t xml:space="preserve">. </w:t>
      </w:r>
    </w:p>
    <w:p w:rsidR="008475A4" w:rsidRDefault="008475A4" w:rsidP="002E48B8">
      <w:pPr>
        <w:pStyle w:val="ListParagraph"/>
        <w:numPr>
          <w:ilvl w:val="0"/>
          <w:numId w:val="19"/>
        </w:numPr>
        <w:autoSpaceDE w:val="0"/>
        <w:autoSpaceDN w:val="0"/>
        <w:adjustRightInd w:val="0"/>
        <w:spacing w:before="240" w:after="240"/>
        <w:rPr>
          <w:rFonts w:ascii="Times" w:eastAsia="MS Mincho" w:hAnsi="Times"/>
        </w:rPr>
      </w:pPr>
      <w:r w:rsidRPr="002E48B8">
        <w:rPr>
          <w:rFonts w:ascii="Times" w:eastAsia="MS Mincho" w:hAnsi="Times"/>
        </w:rPr>
        <w:t>Host governments need first to determine what they want to achieve with their natural resource endowments</w:t>
      </w:r>
      <w:r w:rsidR="008142B0">
        <w:rPr>
          <w:rFonts w:ascii="Times" w:eastAsia="MS Mincho" w:hAnsi="Times"/>
        </w:rPr>
        <w:t xml:space="preserve"> (the vision) and how the wish to achieve such goals (the strategy)</w:t>
      </w:r>
      <w:r w:rsidRPr="002E48B8">
        <w:rPr>
          <w:rFonts w:ascii="Times" w:eastAsia="MS Mincho" w:hAnsi="Times"/>
        </w:rPr>
        <w:t xml:space="preserve">. </w:t>
      </w:r>
      <w:r w:rsidRPr="002E48B8">
        <w:rPr>
          <w:rFonts w:ascii="Times" w:hAnsi="Times" w:cs="Times"/>
        </w:rPr>
        <w:t xml:space="preserve">Host governments </w:t>
      </w:r>
      <w:r w:rsidRPr="002E48B8">
        <w:rPr>
          <w:rFonts w:ascii="Times" w:eastAsia="MS Mincho" w:hAnsi="Times"/>
        </w:rPr>
        <w:t xml:space="preserve">have the responsibility to develop through an inclusive participatory process a long-term strategic vision for extractive industries in terms of their contribution to economic, social, and environmental development. While ownership </w:t>
      </w:r>
      <w:r w:rsidR="008142B0">
        <w:rPr>
          <w:rFonts w:ascii="Times" w:eastAsia="MS Mincho" w:hAnsi="Times"/>
        </w:rPr>
        <w:t xml:space="preserve">of the vision </w:t>
      </w:r>
      <w:r w:rsidRPr="002E48B8">
        <w:rPr>
          <w:rFonts w:ascii="Times" w:eastAsia="MS Mincho" w:hAnsi="Times"/>
        </w:rPr>
        <w:t>should reside in government to ensure clear accountability, the governance for the development of the strategy should be more inclusive and involve government as well as non-government stakeholders</w:t>
      </w:r>
      <w:r w:rsidR="00867263">
        <w:rPr>
          <w:rFonts w:ascii="Times" w:eastAsia="MS Mincho" w:hAnsi="Times"/>
        </w:rPr>
        <w:t>, including</w:t>
      </w:r>
      <w:r w:rsidR="006E116B">
        <w:rPr>
          <w:rFonts w:ascii="Times" w:eastAsia="MS Mincho" w:hAnsi="Times"/>
        </w:rPr>
        <w:t xml:space="preserve"> investors</w:t>
      </w:r>
      <w:r w:rsidRPr="002E48B8">
        <w:rPr>
          <w:rFonts w:ascii="Times" w:eastAsia="MS Mincho" w:hAnsi="Times"/>
        </w:rPr>
        <w:t xml:space="preserve">, with the objective of getting the buy-in of all stakeholders involved and an in-depth understanding of their interests and needs </w:t>
      </w:r>
    </w:p>
    <w:p w:rsidR="00CF2221" w:rsidRPr="002E48B8" w:rsidRDefault="00CF2221" w:rsidP="002E48B8">
      <w:pPr>
        <w:pStyle w:val="ListParagraph"/>
        <w:numPr>
          <w:ilvl w:val="0"/>
          <w:numId w:val="19"/>
        </w:numPr>
        <w:autoSpaceDE w:val="0"/>
        <w:autoSpaceDN w:val="0"/>
        <w:adjustRightInd w:val="0"/>
        <w:spacing w:before="240" w:after="240"/>
        <w:rPr>
          <w:rFonts w:ascii="Times" w:eastAsia="MS Mincho" w:hAnsi="Times"/>
        </w:rPr>
      </w:pPr>
      <w:r>
        <w:rPr>
          <w:rFonts w:ascii="Times" w:eastAsia="MS Mincho" w:hAnsi="Times"/>
        </w:rPr>
        <w:t xml:space="preserve">It is recognised that industry and market dynamics that </w:t>
      </w:r>
      <w:r w:rsidR="002B13AC">
        <w:rPr>
          <w:rFonts w:ascii="Times" w:eastAsia="MS Mincho" w:hAnsi="Times"/>
        </w:rPr>
        <w:t>are relevant to attracting</w:t>
      </w:r>
      <w:r>
        <w:rPr>
          <w:rFonts w:ascii="Times" w:eastAsia="MS Mincho" w:hAnsi="Times"/>
        </w:rPr>
        <w:t xml:space="preserve"> investment and to shaping the strategic goals for the development of a nation’s natural resource endowment</w:t>
      </w:r>
      <w:r w:rsidR="00E4516A">
        <w:rPr>
          <w:rFonts w:ascii="Times" w:eastAsia="MS Mincho" w:hAnsi="Times"/>
        </w:rPr>
        <w:t xml:space="preserve"> may not be fully understood by all stakeholders</w:t>
      </w:r>
      <w:r>
        <w:rPr>
          <w:rFonts w:ascii="Times" w:eastAsia="MS Mincho" w:hAnsi="Times"/>
        </w:rPr>
        <w:t xml:space="preserve">. Without prejudice to the government’s sole responsibility for setting the vision, the involvement of </w:t>
      </w:r>
      <w:r w:rsidR="00867263">
        <w:rPr>
          <w:rFonts w:ascii="Times" w:eastAsia="MS Mincho" w:hAnsi="Times"/>
        </w:rPr>
        <w:t>non-government</w:t>
      </w:r>
      <w:r w:rsidR="00E4516A">
        <w:rPr>
          <w:rFonts w:ascii="Times" w:eastAsia="MS Mincho" w:hAnsi="Times"/>
        </w:rPr>
        <w:t>al</w:t>
      </w:r>
      <w:r w:rsidR="00867263">
        <w:rPr>
          <w:rFonts w:ascii="Times" w:eastAsia="MS Mincho" w:hAnsi="Times"/>
        </w:rPr>
        <w:t xml:space="preserve"> stakeholders </w:t>
      </w:r>
      <w:r>
        <w:rPr>
          <w:rFonts w:ascii="Times" w:eastAsia="MS Mincho" w:hAnsi="Times"/>
        </w:rPr>
        <w:t xml:space="preserve">in the process </w:t>
      </w:r>
      <w:r w:rsidR="008142B0">
        <w:rPr>
          <w:rFonts w:ascii="Times" w:eastAsia="MS Mincho" w:hAnsi="Times"/>
        </w:rPr>
        <w:t xml:space="preserve">will </w:t>
      </w:r>
      <w:r>
        <w:rPr>
          <w:rFonts w:ascii="Times" w:eastAsia="MS Mincho" w:hAnsi="Times"/>
        </w:rPr>
        <w:t xml:space="preserve">help </w:t>
      </w:r>
      <w:r w:rsidR="008142B0">
        <w:rPr>
          <w:rFonts w:ascii="Times" w:eastAsia="MS Mincho" w:hAnsi="Times"/>
        </w:rPr>
        <w:t xml:space="preserve">deploy a strategy </w:t>
      </w:r>
      <w:r>
        <w:rPr>
          <w:rFonts w:ascii="Times" w:eastAsia="MS Mincho" w:hAnsi="Times"/>
        </w:rPr>
        <w:t>that achieves the strongest positive result for all parties.</w:t>
      </w:r>
    </w:p>
    <w:p w:rsidR="008475A4" w:rsidRPr="002E48B8" w:rsidRDefault="008475A4" w:rsidP="002E48B8">
      <w:pPr>
        <w:pStyle w:val="ListParagraph"/>
        <w:numPr>
          <w:ilvl w:val="0"/>
          <w:numId w:val="19"/>
        </w:numPr>
        <w:autoSpaceDE w:val="0"/>
        <w:autoSpaceDN w:val="0"/>
        <w:adjustRightInd w:val="0"/>
        <w:spacing w:before="240" w:after="240"/>
        <w:rPr>
          <w:rFonts w:ascii="Times" w:eastAsia="MS Mincho" w:hAnsi="Times"/>
        </w:rPr>
      </w:pPr>
      <w:r w:rsidRPr="002E48B8">
        <w:rPr>
          <w:rFonts w:ascii="Times" w:eastAsia="MS Mincho" w:hAnsi="Times"/>
        </w:rPr>
        <w:t>It is recognised that in practice, depending on their investment horizon and/or strategic interests, investors may or may not buy</w:t>
      </w:r>
      <w:r w:rsidR="00CF2221">
        <w:rPr>
          <w:rFonts w:ascii="Times" w:eastAsia="MS Mincho" w:hAnsi="Times"/>
        </w:rPr>
        <w:t>-</w:t>
      </w:r>
      <w:r w:rsidRPr="002E48B8">
        <w:rPr>
          <w:rFonts w:ascii="Times" w:eastAsia="MS Mincho" w:hAnsi="Times"/>
        </w:rPr>
        <w:t xml:space="preserve">in to the long-term vision </w:t>
      </w:r>
      <w:r w:rsidR="008142B0">
        <w:rPr>
          <w:rFonts w:ascii="Times" w:eastAsia="MS Mincho" w:hAnsi="Times"/>
        </w:rPr>
        <w:t xml:space="preserve">and strategy </w:t>
      </w:r>
      <w:r w:rsidRPr="002E48B8">
        <w:rPr>
          <w:rFonts w:ascii="Times" w:eastAsia="MS Mincho" w:hAnsi="Times"/>
        </w:rPr>
        <w:t xml:space="preserve">of the government. At a minimum, investors </w:t>
      </w:r>
      <w:r w:rsidR="008142B0">
        <w:rPr>
          <w:rFonts w:ascii="Times" w:eastAsia="MS Mincho" w:hAnsi="Times"/>
        </w:rPr>
        <w:t xml:space="preserve">should endeavour </w:t>
      </w:r>
      <w:r w:rsidRPr="002E48B8">
        <w:rPr>
          <w:rFonts w:ascii="Times" w:eastAsia="MS Mincho" w:hAnsi="Times"/>
        </w:rPr>
        <w:t>to understand</w:t>
      </w:r>
      <w:r w:rsidRPr="0001340F">
        <w:rPr>
          <w:rFonts w:ascii="Times" w:eastAsia="MS Mincho" w:hAnsi="Times"/>
        </w:rPr>
        <w:t xml:space="preserve"> the government’s long-term vision</w:t>
      </w:r>
      <w:r w:rsidR="008142B0">
        <w:rPr>
          <w:rFonts w:ascii="Times" w:eastAsia="MS Mincho" w:hAnsi="Times"/>
        </w:rPr>
        <w:t xml:space="preserve"> and strategy</w:t>
      </w:r>
      <w:r w:rsidR="00C13B83" w:rsidRPr="0001340F">
        <w:rPr>
          <w:rFonts w:ascii="Times" w:eastAsia="MS Mincho" w:hAnsi="Times"/>
        </w:rPr>
        <w:t xml:space="preserve">, </w:t>
      </w:r>
      <w:r w:rsidR="00A86939">
        <w:rPr>
          <w:rFonts w:ascii="Times" w:eastAsia="MS Mincho" w:hAnsi="Times"/>
        </w:rPr>
        <w:t xml:space="preserve">which needs to be </w:t>
      </w:r>
      <w:r w:rsidR="00C13B83" w:rsidRPr="00A86939">
        <w:rPr>
          <w:rFonts w:ascii="Times" w:eastAsia="MS Mincho" w:hAnsi="Times"/>
        </w:rPr>
        <w:t xml:space="preserve">properly reflected in the terms and conditions of the contract </w:t>
      </w:r>
      <w:r w:rsidR="0001340F" w:rsidRPr="00A86939">
        <w:rPr>
          <w:rFonts w:ascii="Times" w:eastAsia="MS Mincho" w:hAnsi="Times"/>
        </w:rPr>
        <w:t xml:space="preserve">under which </w:t>
      </w:r>
      <w:r w:rsidR="00C13B83" w:rsidRPr="00A86939">
        <w:rPr>
          <w:rFonts w:ascii="Times" w:eastAsia="MS Mincho" w:hAnsi="Times"/>
        </w:rPr>
        <w:t xml:space="preserve">the investor </w:t>
      </w:r>
      <w:r w:rsidR="0001340F" w:rsidRPr="00A86939">
        <w:rPr>
          <w:rFonts w:ascii="Times" w:eastAsia="MS Mincho" w:hAnsi="Times"/>
        </w:rPr>
        <w:t>will</w:t>
      </w:r>
      <w:r w:rsidR="00C13B83" w:rsidRPr="00A86939">
        <w:rPr>
          <w:rFonts w:ascii="Times" w:eastAsia="MS Mincho" w:hAnsi="Times"/>
        </w:rPr>
        <w:t xml:space="preserve"> operate</w:t>
      </w:r>
      <w:r w:rsidR="0001340F">
        <w:rPr>
          <w:rFonts w:ascii="Times" w:eastAsia="MS Mincho" w:hAnsi="Times"/>
        </w:rPr>
        <w:t>.</w:t>
      </w:r>
      <w:r w:rsidR="00D85065">
        <w:rPr>
          <w:rStyle w:val="EndnoteReference"/>
          <w:rFonts w:eastAsia="MS Mincho"/>
        </w:rPr>
        <w:endnoteReference w:id="6"/>
      </w:r>
    </w:p>
    <w:p w:rsidR="008475A4" w:rsidRPr="002E48B8" w:rsidRDefault="008475A4" w:rsidP="002E48B8">
      <w:pPr>
        <w:pStyle w:val="ListParagraph"/>
        <w:numPr>
          <w:ilvl w:val="0"/>
          <w:numId w:val="19"/>
        </w:numPr>
        <w:autoSpaceDE w:val="0"/>
        <w:autoSpaceDN w:val="0"/>
        <w:adjustRightInd w:val="0"/>
        <w:spacing w:before="240" w:after="240"/>
        <w:rPr>
          <w:rFonts w:ascii="Times" w:eastAsia="MS Mincho" w:hAnsi="Times"/>
        </w:rPr>
      </w:pPr>
      <w:r w:rsidRPr="002E48B8">
        <w:rPr>
          <w:rFonts w:ascii="Times" w:eastAsia="MS Mincho" w:hAnsi="Times"/>
        </w:rPr>
        <w:t xml:space="preserve">Durable extractive contracts reflect a workable balance between the host government’s long-term vision and the legitimate interests of investors and communities. The goals of the long-term vision should inform the government’s objectives in the negotiations to help long-term interests prevail </w:t>
      </w:r>
      <w:r w:rsidRPr="002E48B8">
        <w:rPr>
          <w:rFonts w:ascii="Times" w:eastAsia="MS Mincho" w:hAnsi="Times"/>
        </w:rPr>
        <w:lastRenderedPageBreak/>
        <w:t>over short-term interests. Pressure for short-term gains</w:t>
      </w:r>
      <w:r w:rsidR="00CF2221">
        <w:rPr>
          <w:rFonts w:ascii="Times" w:eastAsia="MS Mincho" w:hAnsi="Times"/>
        </w:rPr>
        <w:t xml:space="preserve"> that may arise from both the government and investors’ side </w:t>
      </w:r>
      <w:r w:rsidRPr="002E48B8">
        <w:rPr>
          <w:rFonts w:ascii="Times" w:eastAsia="MS Mincho" w:hAnsi="Times"/>
        </w:rPr>
        <w:t xml:space="preserve">needs to be carefully handled. </w:t>
      </w:r>
    </w:p>
    <w:p w:rsidR="008475A4" w:rsidRPr="002E48B8" w:rsidRDefault="008475A4" w:rsidP="002E48B8">
      <w:pPr>
        <w:pStyle w:val="ListParagraph"/>
        <w:numPr>
          <w:ilvl w:val="0"/>
          <w:numId w:val="19"/>
        </w:numPr>
        <w:autoSpaceDE w:val="0"/>
        <w:autoSpaceDN w:val="0"/>
        <w:adjustRightInd w:val="0"/>
        <w:spacing w:before="240" w:after="240"/>
        <w:rPr>
          <w:rFonts w:ascii="Times" w:eastAsia="MS Mincho" w:hAnsi="Times"/>
        </w:rPr>
      </w:pPr>
      <w:r w:rsidRPr="002E48B8">
        <w:rPr>
          <w:rFonts w:ascii="Times" w:hAnsi="Times" w:cs="Times"/>
        </w:rPr>
        <w:t xml:space="preserve">Host governments have the responsibility to ensure a coherent, comprehensive </w:t>
      </w:r>
      <w:r w:rsidR="00CF2221">
        <w:rPr>
          <w:rFonts w:ascii="Times" w:hAnsi="Times" w:cs="Times"/>
        </w:rPr>
        <w:t>interdepartmental</w:t>
      </w:r>
      <w:r w:rsidRPr="002E48B8">
        <w:rPr>
          <w:rFonts w:ascii="Times" w:hAnsi="Times" w:cs="Times"/>
        </w:rPr>
        <w:t xml:space="preserve"> approach to the implementation of the long-term vision, by reconciling any </w:t>
      </w:r>
      <w:r w:rsidR="003E65A7">
        <w:rPr>
          <w:rFonts w:ascii="Times" w:hAnsi="Times" w:cs="Times"/>
        </w:rPr>
        <w:t xml:space="preserve">potentially </w:t>
      </w:r>
      <w:r w:rsidRPr="002E48B8">
        <w:rPr>
          <w:rFonts w:ascii="Times" w:hAnsi="Times" w:cs="Times"/>
        </w:rPr>
        <w:t xml:space="preserve">conflicting internal objectives and being conscious of potential trade-offs. </w:t>
      </w:r>
      <w:r w:rsidR="00CF2221">
        <w:rPr>
          <w:rFonts w:ascii="Times" w:hAnsi="Times" w:cs="Times"/>
        </w:rPr>
        <w:t>It is the role of h</w:t>
      </w:r>
      <w:r w:rsidRPr="002E48B8">
        <w:rPr>
          <w:rFonts w:ascii="Times" w:hAnsi="Times" w:cs="Times"/>
        </w:rPr>
        <w:t>ost governments</w:t>
      </w:r>
      <w:r w:rsidR="00CF2221">
        <w:rPr>
          <w:rFonts w:ascii="Times" w:hAnsi="Times" w:cs="Times"/>
        </w:rPr>
        <w:t xml:space="preserve"> to foster</w:t>
      </w:r>
      <w:r w:rsidRPr="002E48B8">
        <w:rPr>
          <w:rFonts w:ascii="Times" w:hAnsi="Times" w:cs="Times"/>
        </w:rPr>
        <w:t xml:space="preserve"> investor and communit</w:t>
      </w:r>
      <w:r w:rsidR="00CF2221">
        <w:rPr>
          <w:rFonts w:ascii="Times" w:hAnsi="Times" w:cs="Times"/>
        </w:rPr>
        <w:t>y</w:t>
      </w:r>
      <w:r w:rsidRPr="002E48B8">
        <w:rPr>
          <w:rFonts w:ascii="Times" w:hAnsi="Times" w:cs="Times"/>
        </w:rPr>
        <w:t xml:space="preserve"> understanding of the </w:t>
      </w:r>
      <w:r w:rsidR="003E65A7">
        <w:rPr>
          <w:rFonts w:ascii="Times" w:hAnsi="Times" w:cs="Times"/>
        </w:rPr>
        <w:t xml:space="preserve">strategy and the </w:t>
      </w:r>
      <w:r w:rsidRPr="002E48B8">
        <w:rPr>
          <w:rFonts w:ascii="Times" w:hAnsi="Times" w:cs="Times"/>
        </w:rPr>
        <w:t>means through which the long-term vision will be implemented.</w:t>
      </w:r>
    </w:p>
    <w:p w:rsidR="008475A4" w:rsidRDefault="008475A4" w:rsidP="002E48B8">
      <w:pPr>
        <w:pStyle w:val="Heading1"/>
        <w:numPr>
          <w:ilvl w:val="0"/>
          <w:numId w:val="0"/>
        </w:numPr>
        <w:spacing w:before="240" w:after="240"/>
        <w:jc w:val="left"/>
        <w:rPr>
          <w:color w:val="auto"/>
          <w:sz w:val="22"/>
          <w:szCs w:val="22"/>
        </w:rPr>
      </w:pPr>
      <w:bookmarkStart w:id="8" w:name="_Toc483918890"/>
      <w:r w:rsidRPr="002E48B8">
        <w:rPr>
          <w:color w:val="auto"/>
          <w:sz w:val="22"/>
          <w:szCs w:val="22"/>
        </w:rPr>
        <w:t>Commentary on Guiding Principle II</w:t>
      </w:r>
      <w:bookmarkEnd w:id="8"/>
      <w:r w:rsidRPr="002E48B8">
        <w:rPr>
          <w:color w:val="auto"/>
          <w:sz w:val="22"/>
          <w:szCs w:val="22"/>
        </w:rPr>
        <w:t xml:space="preserve"> </w:t>
      </w:r>
    </w:p>
    <w:p w:rsidR="002B13AC" w:rsidRPr="002B13AC" w:rsidRDefault="002B13AC" w:rsidP="002B13AC">
      <w:pPr>
        <w:pStyle w:val="BlockText"/>
        <w:spacing w:after="240"/>
        <w:ind w:left="0" w:right="-198"/>
        <w:rPr>
          <w:b/>
        </w:rPr>
      </w:pPr>
      <w:r w:rsidRPr="002B13AC">
        <w:rPr>
          <w:b/>
        </w:rPr>
        <w:t xml:space="preserve">Durable extractive contracts are anchored in a </w:t>
      </w:r>
      <w:r w:rsidR="003E65A7">
        <w:rPr>
          <w:b/>
        </w:rPr>
        <w:t xml:space="preserve">transparent </w:t>
      </w:r>
      <w:r w:rsidRPr="002B13AC">
        <w:rPr>
          <w:b/>
        </w:rPr>
        <w:t xml:space="preserve">quality long-term relationship </w:t>
      </w:r>
      <w:r w:rsidR="00A470CD" w:rsidRPr="00AB6853">
        <w:rPr>
          <w:b/>
        </w:rPr>
        <w:t xml:space="preserve">and operational partnership </w:t>
      </w:r>
      <w:r w:rsidRPr="00AB6853">
        <w:rPr>
          <w:b/>
        </w:rPr>
        <w:t>between host governments, investors and comm</w:t>
      </w:r>
      <w:r w:rsidRPr="002B13AC">
        <w:rPr>
          <w:b/>
        </w:rPr>
        <w:t>unities, to fulfil agreed and understood objectives based on shared and realistic expectations that are managed throughout the lifecycle of the project.</w:t>
      </w:r>
    </w:p>
    <w:p w:rsidR="008475A4" w:rsidRPr="002E48B8" w:rsidRDefault="008475A4" w:rsidP="002E48B8">
      <w:pPr>
        <w:pStyle w:val="ListParagraph"/>
        <w:numPr>
          <w:ilvl w:val="0"/>
          <w:numId w:val="19"/>
        </w:numPr>
        <w:autoSpaceDE w:val="0"/>
        <w:autoSpaceDN w:val="0"/>
        <w:adjustRightInd w:val="0"/>
        <w:spacing w:before="240" w:after="240"/>
        <w:rPr>
          <w:rFonts w:eastAsia="MS Mincho"/>
        </w:rPr>
      </w:pPr>
      <w:r w:rsidRPr="002E48B8">
        <w:rPr>
          <w:rFonts w:ascii="Times" w:hAnsi="Times" w:cs="Times"/>
        </w:rPr>
        <w:t>Extractive contracts are just the starting point of a long-term partnership</w:t>
      </w:r>
      <w:r w:rsidR="00A470CD">
        <w:rPr>
          <w:rFonts w:ascii="Times" w:hAnsi="Times" w:cs="Times"/>
        </w:rPr>
        <w:t xml:space="preserve"> </w:t>
      </w:r>
      <w:r w:rsidR="00413CB5">
        <w:rPr>
          <w:rFonts w:ascii="Times" w:hAnsi="Times" w:cs="Times"/>
        </w:rPr>
        <w:t xml:space="preserve">between the </w:t>
      </w:r>
      <w:r w:rsidRPr="002E48B8">
        <w:rPr>
          <w:rFonts w:ascii="Times" w:hAnsi="Times" w:cs="Times"/>
        </w:rPr>
        <w:t>host governments</w:t>
      </w:r>
      <w:r w:rsidR="000606ED">
        <w:rPr>
          <w:rFonts w:ascii="Times" w:hAnsi="Times" w:cs="Times"/>
        </w:rPr>
        <w:t xml:space="preserve"> and</w:t>
      </w:r>
      <w:r w:rsidRPr="002E48B8">
        <w:rPr>
          <w:rFonts w:ascii="Times" w:hAnsi="Times" w:cs="Times"/>
        </w:rPr>
        <w:t xml:space="preserve"> investors, requiring mutual engagement and accountability, clear articulation of respective roles responsibilities and transparent relationships to achieve common objectives. Durable extractive contracts recognise that communit</w:t>
      </w:r>
      <w:r w:rsidR="00413CB5">
        <w:rPr>
          <w:rFonts w:ascii="Times" w:hAnsi="Times" w:cs="Times"/>
        </w:rPr>
        <w:t>y engagement is</w:t>
      </w:r>
      <w:r w:rsidRPr="002E48B8">
        <w:rPr>
          <w:rFonts w:ascii="Times" w:hAnsi="Times" w:cs="Times"/>
        </w:rPr>
        <w:t xml:space="preserve"> vital </w:t>
      </w:r>
      <w:r w:rsidR="00413CB5">
        <w:rPr>
          <w:rFonts w:ascii="Times" w:hAnsi="Times" w:cs="Times"/>
        </w:rPr>
        <w:t>to</w:t>
      </w:r>
      <w:r w:rsidRPr="002E48B8">
        <w:rPr>
          <w:rFonts w:ascii="Times" w:hAnsi="Times" w:cs="Times"/>
        </w:rPr>
        <w:t xml:space="preserve"> ensuring the contract’s long-term </w:t>
      </w:r>
      <w:r w:rsidR="00413CB5">
        <w:rPr>
          <w:rFonts w:ascii="Times" w:hAnsi="Times" w:cs="Times"/>
        </w:rPr>
        <w:t>dura</w:t>
      </w:r>
      <w:r w:rsidRPr="002E48B8">
        <w:rPr>
          <w:rFonts w:ascii="Times" w:hAnsi="Times" w:cs="Times"/>
        </w:rPr>
        <w:t xml:space="preserve">bility. The relationship between host governments, investors and communities should be based, from the beginning, on mutual respect, understanding of their respective interests and needs, and on-going management of expectations. </w:t>
      </w:r>
      <w:r>
        <w:t>G</w:t>
      </w:r>
      <w:r w:rsidRPr="002E48B8">
        <w:rPr>
          <w:rFonts w:eastAsia="MS Mincho"/>
        </w:rPr>
        <w:t xml:space="preserve">overnments, investors and communities </w:t>
      </w:r>
      <w:r w:rsidR="00413CB5">
        <w:rPr>
          <w:rFonts w:eastAsia="MS Mincho"/>
        </w:rPr>
        <w:t xml:space="preserve">may </w:t>
      </w:r>
      <w:r w:rsidRPr="002E48B8">
        <w:rPr>
          <w:rFonts w:eastAsia="MS Mincho"/>
        </w:rPr>
        <w:t>enter their relationships with assumed</w:t>
      </w:r>
      <w:r w:rsidR="00413CB5">
        <w:rPr>
          <w:rFonts w:eastAsia="MS Mincho"/>
        </w:rPr>
        <w:t xml:space="preserve"> understanding</w:t>
      </w:r>
      <w:r w:rsidR="003E65A7">
        <w:rPr>
          <w:rFonts w:eastAsia="MS Mincho"/>
        </w:rPr>
        <w:t>s</w:t>
      </w:r>
      <w:r w:rsidR="00413CB5">
        <w:rPr>
          <w:rFonts w:eastAsia="MS Mincho"/>
        </w:rPr>
        <w:t xml:space="preserve"> and</w:t>
      </w:r>
      <w:r w:rsidRPr="002E48B8">
        <w:rPr>
          <w:rFonts w:eastAsia="MS Mincho"/>
        </w:rPr>
        <w:t xml:space="preserve"> expectations of each other which are not necessarily </w:t>
      </w:r>
      <w:r w:rsidR="001156E2">
        <w:rPr>
          <w:rFonts w:eastAsia="MS Mincho"/>
        </w:rPr>
        <w:t xml:space="preserve">well informed or </w:t>
      </w:r>
      <w:r w:rsidRPr="002E48B8">
        <w:rPr>
          <w:rFonts w:eastAsia="MS Mincho"/>
        </w:rPr>
        <w:t xml:space="preserve">aligned. While investors are </w:t>
      </w:r>
      <w:r w:rsidR="001156E2">
        <w:rPr>
          <w:rFonts w:eastAsia="MS Mincho"/>
        </w:rPr>
        <w:t xml:space="preserve">concerned with </w:t>
      </w:r>
      <w:r w:rsidRPr="002E48B8">
        <w:rPr>
          <w:rFonts w:eastAsia="MS Mincho"/>
        </w:rPr>
        <w:t xml:space="preserve">the </w:t>
      </w:r>
      <w:r w:rsidR="001156E2">
        <w:rPr>
          <w:rFonts w:eastAsia="MS Mincho"/>
        </w:rPr>
        <w:t xml:space="preserve">long-term </w:t>
      </w:r>
      <w:r w:rsidRPr="002E48B8">
        <w:rPr>
          <w:rFonts w:eastAsia="MS Mincho"/>
        </w:rPr>
        <w:t>operability of the contract,</w:t>
      </w:r>
      <w:r w:rsidR="00B43395">
        <w:rPr>
          <w:rFonts w:eastAsia="MS Mincho"/>
        </w:rPr>
        <w:t xml:space="preserve"> and profit and return to compensate for risks taken and contributions made</w:t>
      </w:r>
      <w:r w:rsidR="00B43395" w:rsidRPr="002E48B8">
        <w:rPr>
          <w:rFonts w:eastAsia="MS Mincho"/>
        </w:rPr>
        <w:t>,</w:t>
      </w:r>
      <w:r w:rsidRPr="002E48B8">
        <w:rPr>
          <w:rFonts w:eastAsia="MS Mincho"/>
        </w:rPr>
        <w:t xml:space="preserve"> host governments are concerned by the need to achieve broader national development objectives. </w:t>
      </w:r>
      <w:r w:rsidR="001156E2">
        <w:rPr>
          <w:rFonts w:ascii="Times" w:hAnsi="Times" w:cs="Times"/>
        </w:rPr>
        <w:t xml:space="preserve">It is the responsibility of the government to ensure that community interests are protected. </w:t>
      </w:r>
      <w:r w:rsidRPr="002E48B8">
        <w:rPr>
          <w:rFonts w:eastAsia="MS Mincho"/>
        </w:rPr>
        <w:t xml:space="preserve">Communities, including indigenous peoples, youth, and women, expect that their interests are considered and that benefits are shared at the local level through the participation in potential socio-economic development opportunities (jobs, infrastructure, </w:t>
      </w:r>
      <w:r w:rsidR="001B195A">
        <w:rPr>
          <w:rFonts w:eastAsia="MS Mincho"/>
        </w:rPr>
        <w:t xml:space="preserve">business opportunities, </w:t>
      </w:r>
      <w:r w:rsidRPr="002E48B8">
        <w:rPr>
          <w:rFonts w:eastAsia="MS Mincho"/>
        </w:rPr>
        <w:t xml:space="preserve">and community development). It is the host </w:t>
      </w:r>
      <w:r w:rsidRPr="002E48B8">
        <w:rPr>
          <w:lang w:val="en-US"/>
        </w:rPr>
        <w:t xml:space="preserve">government’s role to integrate as appropriate local </w:t>
      </w:r>
      <w:r w:rsidR="002A1171">
        <w:rPr>
          <w:lang w:val="en-US"/>
        </w:rPr>
        <w:t xml:space="preserve">socio-economic </w:t>
      </w:r>
      <w:r w:rsidRPr="002E48B8">
        <w:rPr>
          <w:lang w:val="en-US"/>
        </w:rPr>
        <w:t>development objectives with the wider agenda for regional and national development plans and policies.</w:t>
      </w:r>
    </w:p>
    <w:p w:rsidR="008475A4" w:rsidRPr="002E48B8" w:rsidRDefault="008475A4" w:rsidP="002E48B8">
      <w:pPr>
        <w:pStyle w:val="ListParagraph"/>
        <w:numPr>
          <w:ilvl w:val="0"/>
          <w:numId w:val="19"/>
        </w:numPr>
        <w:autoSpaceDE w:val="0"/>
        <w:autoSpaceDN w:val="0"/>
        <w:adjustRightInd w:val="0"/>
        <w:spacing w:before="240" w:after="240"/>
        <w:ind w:left="714" w:hanging="357"/>
        <w:rPr>
          <w:rFonts w:eastAsia="MS Mincho"/>
        </w:rPr>
      </w:pPr>
      <w:r w:rsidRPr="002E48B8">
        <w:rPr>
          <w:rFonts w:eastAsia="MS Mincho"/>
        </w:rPr>
        <w:t xml:space="preserve">Unrealistic or too high expectations on the fiscal, </w:t>
      </w:r>
      <w:r>
        <w:rPr>
          <w:rStyle w:val="A8"/>
        </w:rPr>
        <w:t>social and economic development benefits</w:t>
      </w:r>
      <w:r w:rsidRPr="002E48B8">
        <w:rPr>
          <w:rFonts w:eastAsia="MS Mincho"/>
        </w:rPr>
        <w:t xml:space="preserve"> of a project</w:t>
      </w:r>
      <w:r w:rsidR="001156E2">
        <w:rPr>
          <w:rFonts w:eastAsia="MS Mincho"/>
        </w:rPr>
        <w:t xml:space="preserve"> need to be managed and alignment achieved</w:t>
      </w:r>
      <w:r w:rsidRPr="002E48B8">
        <w:rPr>
          <w:rFonts w:eastAsia="MS Mincho"/>
        </w:rPr>
        <w:t xml:space="preserve">. Understanding and managing expectations is particularly important in the exploration phase of a project </w:t>
      </w:r>
      <w:r w:rsidR="002B13AC">
        <w:rPr>
          <w:rFonts w:eastAsia="MS Mincho"/>
        </w:rPr>
        <w:t xml:space="preserve">because (a) it is during and sometimes even before the initial </w:t>
      </w:r>
      <w:r w:rsidR="00D4407E">
        <w:rPr>
          <w:rFonts w:eastAsia="MS Mincho"/>
        </w:rPr>
        <w:t>p</w:t>
      </w:r>
      <w:r w:rsidR="002B13AC">
        <w:rPr>
          <w:rFonts w:eastAsia="MS Mincho"/>
        </w:rPr>
        <w:t>hase that many e</w:t>
      </w:r>
      <w:r w:rsidR="00D4407E">
        <w:rPr>
          <w:rFonts w:eastAsia="MS Mincho"/>
        </w:rPr>
        <w:t xml:space="preserve">xpectations can, rightly or wrongly become established, and (b) </w:t>
      </w:r>
      <w:r w:rsidRPr="002E48B8">
        <w:rPr>
          <w:rFonts w:eastAsia="MS Mincho"/>
        </w:rPr>
        <w:t xml:space="preserve"> exploration activities may not result in commercial discoveries and production.</w:t>
      </w:r>
      <w:r>
        <w:rPr>
          <w:rStyle w:val="EndnoteReference"/>
          <w:rFonts w:eastAsia="MS Mincho"/>
        </w:rPr>
        <w:endnoteReference w:id="7"/>
      </w:r>
      <w:r w:rsidRPr="000354BD">
        <w:t xml:space="preserve"> </w:t>
      </w:r>
      <w:r w:rsidRPr="002E48B8">
        <w:rPr>
          <w:rFonts w:eastAsia="MS Mincho"/>
        </w:rPr>
        <w:t>Host governments and investors have a shared responsibility to clearly communicate along with economic and commercial issues, the potential benefits that can realistically be achieved</w:t>
      </w:r>
      <w:r w:rsidR="00D4407E">
        <w:rPr>
          <w:rFonts w:eastAsia="MS Mincho"/>
        </w:rPr>
        <w:t>, the contingency of them,</w:t>
      </w:r>
      <w:r w:rsidRPr="002E48B8">
        <w:rPr>
          <w:rFonts w:eastAsia="MS Mincho"/>
        </w:rPr>
        <w:t xml:space="preserve"> and their sustainability</w:t>
      </w:r>
      <w:r w:rsidR="00D4407E">
        <w:rPr>
          <w:rFonts w:eastAsia="MS Mincho"/>
        </w:rPr>
        <w:t>, or not,</w:t>
      </w:r>
      <w:r w:rsidR="003E65A7">
        <w:rPr>
          <w:rFonts w:eastAsia="MS Mincho"/>
        </w:rPr>
        <w:t xml:space="preserve"> </w:t>
      </w:r>
      <w:r w:rsidRPr="002E48B8">
        <w:rPr>
          <w:rFonts w:eastAsia="MS Mincho"/>
        </w:rPr>
        <w:t xml:space="preserve">throughout the project’s life cycle and the </w:t>
      </w:r>
      <w:r w:rsidR="00D4407E">
        <w:rPr>
          <w:rFonts w:eastAsia="MS Mincho"/>
        </w:rPr>
        <w:t xml:space="preserve">consequent potential </w:t>
      </w:r>
      <w:r w:rsidRPr="002E48B8">
        <w:rPr>
          <w:rFonts w:eastAsia="MS Mincho"/>
        </w:rPr>
        <w:t>impacts on affected communities.</w:t>
      </w:r>
    </w:p>
    <w:p w:rsidR="00D4407E" w:rsidRPr="006E116B" w:rsidRDefault="008475A4" w:rsidP="002E48B8">
      <w:pPr>
        <w:pStyle w:val="ListParagraph"/>
        <w:numPr>
          <w:ilvl w:val="0"/>
          <w:numId w:val="19"/>
        </w:numPr>
        <w:autoSpaceDE w:val="0"/>
        <w:autoSpaceDN w:val="0"/>
        <w:adjustRightInd w:val="0"/>
        <w:spacing w:before="240" w:after="240"/>
        <w:ind w:left="714" w:hanging="357"/>
      </w:pPr>
      <w:r w:rsidRPr="002E48B8">
        <w:rPr>
          <w:rFonts w:eastAsia="MS Mincho"/>
        </w:rPr>
        <w:t>D</w:t>
      </w:r>
      <w:r w:rsidRPr="00D07CD3">
        <w:t xml:space="preserve">isappointment may arise because expectations </w:t>
      </w:r>
      <w:r>
        <w:t xml:space="preserve">are </w:t>
      </w:r>
      <w:r w:rsidRPr="002E48B8">
        <w:rPr>
          <w:rFonts w:eastAsia="MS Mincho"/>
        </w:rPr>
        <w:t xml:space="preserve">not met or even discussed. To prevent this, host governments have a role to play in </w:t>
      </w:r>
      <w:r w:rsidR="00D4407E">
        <w:rPr>
          <w:rFonts w:eastAsia="MS Mincho"/>
        </w:rPr>
        <w:t xml:space="preserve">(a) themselves setting realistic expectations, and (b) </w:t>
      </w:r>
      <w:r w:rsidRPr="002E48B8">
        <w:rPr>
          <w:rFonts w:eastAsia="MS Mincho"/>
        </w:rPr>
        <w:t>creating the enabling conditions</w:t>
      </w:r>
      <w:r w:rsidR="001156E2">
        <w:rPr>
          <w:rFonts w:eastAsia="MS Mincho"/>
        </w:rPr>
        <w:t>, including</w:t>
      </w:r>
      <w:r w:rsidRPr="002E48B8">
        <w:rPr>
          <w:rFonts w:eastAsia="MS Mincho"/>
        </w:rPr>
        <w:t xml:space="preserve"> through </w:t>
      </w:r>
      <w:r w:rsidR="001156E2">
        <w:rPr>
          <w:rFonts w:eastAsia="MS Mincho"/>
        </w:rPr>
        <w:t xml:space="preserve"> a regulatory environment providing for </w:t>
      </w:r>
      <w:r w:rsidRPr="002E48B8">
        <w:rPr>
          <w:rFonts w:eastAsia="MS Mincho"/>
        </w:rPr>
        <w:t xml:space="preserve">open and effective communication, consultation and participatory processes </w:t>
      </w:r>
      <w:r w:rsidR="00D4407E">
        <w:rPr>
          <w:rFonts w:eastAsia="MS Mincho"/>
        </w:rPr>
        <w:t xml:space="preserve">with stakeholders </w:t>
      </w:r>
      <w:r w:rsidRPr="002E48B8">
        <w:rPr>
          <w:rFonts w:eastAsia="MS Mincho"/>
        </w:rPr>
        <w:t xml:space="preserve">that help </w:t>
      </w:r>
      <w:r w:rsidR="00D4407E">
        <w:rPr>
          <w:rFonts w:eastAsia="MS Mincho"/>
        </w:rPr>
        <w:t>achieve widely held expectations and understanding</w:t>
      </w:r>
      <w:r w:rsidR="00E4516A">
        <w:rPr>
          <w:rFonts w:eastAsia="MS Mincho"/>
        </w:rPr>
        <w:t xml:space="preserve"> and pave the way for mutually beneficial outcomes</w:t>
      </w:r>
      <w:r w:rsidR="00D4407E">
        <w:rPr>
          <w:rFonts w:eastAsia="MS Mincho"/>
        </w:rPr>
        <w:t xml:space="preserve"> </w:t>
      </w:r>
      <w:r w:rsidR="001156E2">
        <w:rPr>
          <w:rFonts w:eastAsia="MS Mincho"/>
        </w:rPr>
        <w:t>(see Principle VI and related commentary)</w:t>
      </w:r>
    </w:p>
    <w:p w:rsidR="00281715" w:rsidRDefault="008475A4" w:rsidP="002E48B8">
      <w:pPr>
        <w:pStyle w:val="ListParagraph"/>
        <w:numPr>
          <w:ilvl w:val="0"/>
          <w:numId w:val="19"/>
        </w:numPr>
        <w:autoSpaceDE w:val="0"/>
        <w:autoSpaceDN w:val="0"/>
        <w:adjustRightInd w:val="0"/>
        <w:spacing w:before="240" w:after="240"/>
        <w:ind w:left="714" w:hanging="357"/>
      </w:pPr>
      <w:r w:rsidRPr="002E48B8">
        <w:rPr>
          <w:rFonts w:eastAsia="MS Mincho"/>
        </w:rPr>
        <w:lastRenderedPageBreak/>
        <w:t>Effective engagement can help to foster the trust of local communities</w:t>
      </w:r>
      <w:r w:rsidR="00D4407E">
        <w:rPr>
          <w:rFonts w:eastAsia="MS Mincho"/>
        </w:rPr>
        <w:t>, which is a vital foundation for achieving realistic expectations and understanding. It can</w:t>
      </w:r>
      <w:r w:rsidRPr="002E48B8">
        <w:rPr>
          <w:rFonts w:eastAsia="MS Mincho"/>
        </w:rPr>
        <w:t xml:space="preserve"> identify any misalignment; promote mutual understanding of different positions, interests, and needs; clarify and manage expectations; prevent conflicts and litigation, overcome distrust and strengthen collaboration. In particular, before and during the negotiation, communication with the community and information sharing between governments and investors regarding community concerns (e.g. site location involving the resettlement of local communities, especially if indigenous peoples</w:t>
      </w:r>
      <w:r>
        <w:t xml:space="preserve"> are affected</w:t>
      </w:r>
      <w:r w:rsidR="00D4407E">
        <w:t>, or involving environmental impacts or health and safety concerns</w:t>
      </w:r>
      <w:r>
        <w:t>) and</w:t>
      </w:r>
      <w:r w:rsidRPr="00D07CD3">
        <w:t xml:space="preserve"> interests emerging from </w:t>
      </w:r>
      <w:r>
        <w:t>initial engagement efforts (through</w:t>
      </w:r>
      <w:r w:rsidR="00D4407E">
        <w:t xml:space="preserve"> exploration,</w:t>
      </w:r>
      <w:r>
        <w:t xml:space="preserve"> </w:t>
      </w:r>
      <w:r w:rsidRPr="00D07CD3">
        <w:t>feasibility or due diligence studies</w:t>
      </w:r>
      <w:r>
        <w:t>)</w:t>
      </w:r>
      <w:r w:rsidRPr="00D07CD3">
        <w:t xml:space="preserve"> are crucial to inform the design of effective community engagement plans through the life cycle of the contract.</w:t>
      </w:r>
    </w:p>
    <w:p w:rsidR="008475A4" w:rsidRPr="002E48B8" w:rsidRDefault="008475A4" w:rsidP="002E48B8">
      <w:pPr>
        <w:pStyle w:val="ListParagraph"/>
        <w:numPr>
          <w:ilvl w:val="0"/>
          <w:numId w:val="19"/>
        </w:numPr>
        <w:autoSpaceDE w:val="0"/>
        <w:autoSpaceDN w:val="0"/>
        <w:adjustRightInd w:val="0"/>
        <w:spacing w:before="240" w:after="240"/>
        <w:ind w:left="714" w:hanging="357"/>
      </w:pPr>
      <w:r w:rsidRPr="002E48B8">
        <w:rPr>
          <w:sz w:val="20"/>
        </w:rPr>
        <w:t>A</w:t>
      </w:r>
      <w:r w:rsidRPr="002E48B8">
        <w:rPr>
          <w:rFonts w:ascii="Times" w:eastAsia="MS Mincho" w:hAnsi="Times"/>
        </w:rPr>
        <w:t xml:space="preserve">ttaining and retaining a social licence to operate </w:t>
      </w:r>
      <w:r w:rsidRPr="002E48B8">
        <w:rPr>
          <w:color w:val="231F20"/>
        </w:rPr>
        <w:t>throughout the project cycle</w:t>
      </w:r>
      <w:r w:rsidRPr="002E48B8">
        <w:rPr>
          <w:rFonts w:ascii="Times" w:eastAsia="MS Mincho" w:hAnsi="Times"/>
        </w:rPr>
        <w:t xml:space="preserve"> entails for investors to agree with affected communities on an engagement and consultation process tailored to the characteristics and interests of affected communities. For example, where indigenous peoples are affected, </w:t>
      </w:r>
      <w:r w:rsidR="00445335">
        <w:rPr>
          <w:rFonts w:ascii="Times" w:eastAsia="MS Mincho" w:hAnsi="Times"/>
        </w:rPr>
        <w:t xml:space="preserve">applicable </w:t>
      </w:r>
      <w:r w:rsidR="001156E2">
        <w:rPr>
          <w:rFonts w:ascii="Times" w:eastAsia="MS Mincho" w:hAnsi="Times"/>
        </w:rPr>
        <w:t xml:space="preserve">law </w:t>
      </w:r>
      <w:r w:rsidRPr="002E48B8">
        <w:rPr>
          <w:rFonts w:ascii="Times" w:eastAsia="MS Mincho" w:hAnsi="Times"/>
        </w:rPr>
        <w:t xml:space="preserve">may require working towards seeking free, prior and informed consent (FPIC) as soon as possible during project planning, before activities for which consent should be sought </w:t>
      </w:r>
      <w:r w:rsidR="00281715">
        <w:rPr>
          <w:rFonts w:ascii="Times" w:eastAsia="MS Mincho" w:hAnsi="Times"/>
        </w:rPr>
        <w:t xml:space="preserve">are </w:t>
      </w:r>
      <w:r w:rsidRPr="002E48B8">
        <w:rPr>
          <w:rFonts w:ascii="Times" w:eastAsia="MS Mincho" w:hAnsi="Times"/>
        </w:rPr>
        <w:t>commence</w:t>
      </w:r>
      <w:r w:rsidR="00281715">
        <w:rPr>
          <w:rFonts w:ascii="Times" w:eastAsia="MS Mincho" w:hAnsi="Times"/>
        </w:rPr>
        <w:t>d</w:t>
      </w:r>
      <w:r w:rsidRPr="002E48B8">
        <w:rPr>
          <w:rFonts w:ascii="Times" w:eastAsia="MS Mincho" w:hAnsi="Times"/>
        </w:rPr>
        <w:t xml:space="preserve"> or are authorised</w:t>
      </w:r>
      <w:r w:rsidR="006E116B" w:rsidRPr="006E116B">
        <w:rPr>
          <w:rFonts w:ascii="Times" w:eastAsia="MS Mincho" w:hAnsi="Times"/>
        </w:rPr>
        <w:t>,</w:t>
      </w:r>
      <w:r w:rsidR="006E116B">
        <w:rPr>
          <w:rFonts w:ascii="Times" w:eastAsia="MS Mincho" w:hAnsi="Times"/>
        </w:rPr>
        <w:t xml:space="preserve"> </w:t>
      </w:r>
      <w:r w:rsidR="006E116B" w:rsidRPr="006E116B">
        <w:rPr>
          <w:rFonts w:ascii="Times" w:eastAsia="MS Mincho" w:hAnsi="Times"/>
        </w:rPr>
        <w:t>and the time requi</w:t>
      </w:r>
      <w:r w:rsidR="00867263">
        <w:rPr>
          <w:rFonts w:ascii="Times" w:eastAsia="MS Mincho" w:hAnsi="Times"/>
        </w:rPr>
        <w:t xml:space="preserve">red </w:t>
      </w:r>
      <w:r w:rsidR="00445335">
        <w:rPr>
          <w:rFonts w:ascii="Times" w:eastAsia="MS Mincho" w:hAnsi="Times"/>
        </w:rPr>
        <w:t xml:space="preserve">meaningful informed consultation and participation process </w:t>
      </w:r>
      <w:r w:rsidR="00867263">
        <w:rPr>
          <w:rFonts w:ascii="Times" w:eastAsia="MS Mincho" w:hAnsi="Times"/>
        </w:rPr>
        <w:t>need</w:t>
      </w:r>
      <w:r w:rsidR="00445335">
        <w:rPr>
          <w:rFonts w:ascii="Times" w:eastAsia="MS Mincho" w:hAnsi="Times"/>
        </w:rPr>
        <w:t>s</w:t>
      </w:r>
      <w:r w:rsidR="00867263">
        <w:rPr>
          <w:rFonts w:ascii="Times" w:eastAsia="MS Mincho" w:hAnsi="Times"/>
        </w:rPr>
        <w:t xml:space="preserve"> to</w:t>
      </w:r>
      <w:r w:rsidR="006E116B" w:rsidRPr="006E116B">
        <w:rPr>
          <w:rFonts w:ascii="Times" w:eastAsia="MS Mincho" w:hAnsi="Times"/>
        </w:rPr>
        <w:t xml:space="preserve"> be factored into the contract terms</w:t>
      </w:r>
      <w:r w:rsidRPr="002E48B8">
        <w:rPr>
          <w:rFonts w:ascii="Times" w:eastAsia="MS Mincho" w:hAnsi="Times"/>
        </w:rPr>
        <w:t>.</w:t>
      </w:r>
      <w:r>
        <w:rPr>
          <w:rStyle w:val="EndnoteReference"/>
          <w:rFonts w:ascii="Times" w:eastAsia="MS Mincho" w:hAnsi="Times"/>
        </w:rPr>
        <w:endnoteReference w:id="8"/>
      </w:r>
      <w:r w:rsidRPr="002E48B8">
        <w:rPr>
          <w:rFonts w:ascii="Times" w:eastAsia="MS Mincho" w:hAnsi="Times"/>
        </w:rPr>
        <w:t xml:space="preserve"> </w:t>
      </w:r>
      <w:r w:rsidRPr="00D07CD3">
        <w:t xml:space="preserve">Such </w:t>
      </w:r>
      <w:r>
        <w:t xml:space="preserve">engagement </w:t>
      </w:r>
      <w:r w:rsidRPr="00D07CD3">
        <w:t xml:space="preserve">plans, developed in accordance with domestic and international standards, can help understand priorities on many of the critical social and economic development issues, </w:t>
      </w:r>
      <w:r>
        <w:t>clarify what can be realistically achieved</w:t>
      </w:r>
      <w:r>
        <w:rPr>
          <w:rStyle w:val="EndnoteReference"/>
          <w:rFonts w:eastAsia="MS Mincho"/>
        </w:rPr>
        <w:endnoteReference w:id="9"/>
      </w:r>
      <w:r w:rsidRPr="00D07CD3">
        <w:t xml:space="preserve">, </w:t>
      </w:r>
      <w:r>
        <w:t>including the identification of</w:t>
      </w:r>
      <w:r w:rsidRPr="00D07CD3">
        <w:t xml:space="preserve"> </w:t>
      </w:r>
      <w:r>
        <w:t xml:space="preserve">realistic </w:t>
      </w:r>
      <w:r w:rsidRPr="00D07CD3">
        <w:t>opportunities for maximising benefits and mitigat</w:t>
      </w:r>
      <w:r w:rsidR="00281715">
        <w:t>ing</w:t>
      </w:r>
      <w:r w:rsidRPr="00D07CD3">
        <w:t xml:space="preserve"> risks, and ensure a coherent result </w:t>
      </w:r>
      <w:r w:rsidR="000606ED">
        <w:t>that the community can support.</w:t>
      </w:r>
      <w:r w:rsidRPr="00D07CD3">
        <w:rPr>
          <w:vertAlign w:val="superscript"/>
        </w:rPr>
        <w:endnoteReference w:id="10"/>
      </w:r>
    </w:p>
    <w:p w:rsidR="008475A4" w:rsidRPr="002E48B8" w:rsidRDefault="001156E2" w:rsidP="005B13CF">
      <w:pPr>
        <w:pStyle w:val="ListParagraph"/>
        <w:numPr>
          <w:ilvl w:val="0"/>
          <w:numId w:val="19"/>
        </w:numPr>
        <w:autoSpaceDE w:val="0"/>
        <w:autoSpaceDN w:val="0"/>
        <w:adjustRightInd w:val="0"/>
        <w:spacing w:before="240" w:after="240"/>
        <w:rPr>
          <w:rFonts w:ascii="Times" w:hAnsi="Times" w:cs="Times"/>
        </w:rPr>
      </w:pPr>
      <w:r>
        <w:rPr>
          <w:color w:val="000000"/>
        </w:rPr>
        <w:t xml:space="preserve">The contract should provide a mechanism to ensure that </w:t>
      </w:r>
      <w:r w:rsidR="008475A4" w:rsidRPr="002E48B8">
        <w:rPr>
          <w:rFonts w:eastAsia="MS Mincho"/>
        </w:rPr>
        <w:t xml:space="preserve">the views and </w:t>
      </w:r>
      <w:r w:rsidR="008475A4" w:rsidRPr="002E48B8">
        <w:rPr>
          <w:color w:val="231F20"/>
        </w:rPr>
        <w:t xml:space="preserve">concerns of affected communities </w:t>
      </w:r>
      <w:r w:rsidR="008475A4" w:rsidRPr="002E48B8">
        <w:rPr>
          <w:rFonts w:ascii="Times" w:eastAsia="MS Mincho" w:hAnsi="Times"/>
        </w:rPr>
        <w:t>in relation to planning and decision making for projects that may significantly impact them</w:t>
      </w:r>
      <w:r w:rsidR="008475A4" w:rsidRPr="002E48B8">
        <w:rPr>
          <w:color w:val="231F20"/>
        </w:rPr>
        <w:t xml:space="preserve"> are taken into account</w:t>
      </w:r>
      <w:r w:rsidR="003E6381">
        <w:rPr>
          <w:color w:val="000000"/>
        </w:rPr>
        <w:t>.</w:t>
      </w:r>
      <w:r w:rsidR="008475A4" w:rsidRPr="002E48B8">
        <w:rPr>
          <w:color w:val="000000"/>
        </w:rPr>
        <w:t xml:space="preserve"> Lack of broad community support can threaten the economic viability of the project and heighten corporate </w:t>
      </w:r>
      <w:r w:rsidR="00281715">
        <w:rPr>
          <w:color w:val="000000"/>
        </w:rPr>
        <w:t xml:space="preserve">and industry </w:t>
      </w:r>
      <w:r w:rsidR="008475A4" w:rsidRPr="002E48B8">
        <w:rPr>
          <w:color w:val="000000"/>
        </w:rPr>
        <w:t xml:space="preserve">reputational risk. </w:t>
      </w:r>
    </w:p>
    <w:p w:rsidR="008475A4" w:rsidRDefault="008475A4" w:rsidP="005B13CF">
      <w:pPr>
        <w:pStyle w:val="Heading1"/>
        <w:numPr>
          <w:ilvl w:val="0"/>
          <w:numId w:val="0"/>
        </w:numPr>
        <w:spacing w:before="240" w:after="240"/>
        <w:jc w:val="both"/>
        <w:rPr>
          <w:color w:val="auto"/>
          <w:sz w:val="22"/>
          <w:szCs w:val="22"/>
        </w:rPr>
      </w:pPr>
      <w:bookmarkStart w:id="9" w:name="_Toc483918891"/>
      <w:r w:rsidRPr="002E48B8">
        <w:rPr>
          <w:color w:val="auto"/>
          <w:sz w:val="22"/>
          <w:szCs w:val="22"/>
        </w:rPr>
        <w:t>Commentary on Guiding Principle III</w:t>
      </w:r>
      <w:bookmarkEnd w:id="9"/>
    </w:p>
    <w:p w:rsidR="00281715" w:rsidRPr="00281715" w:rsidRDefault="00281715" w:rsidP="00281715">
      <w:pPr>
        <w:pStyle w:val="Para1"/>
        <w:ind w:left="0" w:right="85"/>
        <w:rPr>
          <w:b/>
        </w:rPr>
      </w:pPr>
      <w:r w:rsidRPr="00281715">
        <w:rPr>
          <w:b/>
        </w:rPr>
        <w:t>Durable extractive contracts balance the legitimate interests of host governments, investors, and communities, with due account taken</w:t>
      </w:r>
      <w:r w:rsidR="00F300D8">
        <w:rPr>
          <w:b/>
        </w:rPr>
        <w:t>, where relevant,</w:t>
      </w:r>
      <w:r w:rsidRPr="00281715">
        <w:rPr>
          <w:b/>
        </w:rPr>
        <w:t xml:space="preserve"> of the specific rights of indigenous peoples</w:t>
      </w:r>
      <w:r w:rsidR="00DC319B" w:rsidRPr="00DC319B">
        <w:t xml:space="preserve"> </w:t>
      </w:r>
      <w:r w:rsidR="00DC319B" w:rsidRPr="00DC319B">
        <w:rPr>
          <w:b/>
        </w:rPr>
        <w:t>recognised under applicable law</w:t>
      </w:r>
      <w:r w:rsidRPr="00DC319B">
        <w:rPr>
          <w:b/>
        </w:rPr>
        <w:t>.</w:t>
      </w:r>
      <w:r w:rsidRPr="00281715">
        <w:rPr>
          <w:b/>
        </w:rPr>
        <w:t xml:space="preserve">  </w:t>
      </w:r>
    </w:p>
    <w:p w:rsidR="008475A4" w:rsidRPr="003779C1" w:rsidRDefault="008475A4" w:rsidP="005B13CF">
      <w:pPr>
        <w:pStyle w:val="BlockText"/>
        <w:numPr>
          <w:ilvl w:val="0"/>
          <w:numId w:val="19"/>
        </w:numPr>
        <w:tabs>
          <w:tab w:val="left" w:pos="426"/>
        </w:tabs>
        <w:spacing w:before="240" w:after="240"/>
        <w:ind w:right="-28"/>
      </w:pPr>
      <w:r w:rsidRPr="00066D9B">
        <w:rPr>
          <w:rFonts w:eastAsia="MS Mincho"/>
        </w:rPr>
        <w:t xml:space="preserve">The extraction of non-renewable resources is a process of asset depletion. </w:t>
      </w:r>
      <w:r w:rsidRPr="00066D9B">
        <w:t xml:space="preserve">Both host governments and investors have a common objective to maximise the overall value that can be obtained from the exploitation of finite resources. </w:t>
      </w:r>
      <w:r>
        <w:t xml:space="preserve">But, beyond </w:t>
      </w:r>
      <w:r w:rsidRPr="003779C1">
        <w:t xml:space="preserve">obtaining revenues and getting a fair share of the financial benefits to secure a reward for ownership of resources, </w:t>
      </w:r>
      <w:r>
        <w:t>h</w:t>
      </w:r>
      <w:r w:rsidRPr="003779C1">
        <w:t>ost governments pursue multi-layered objectives aim</w:t>
      </w:r>
      <w:r>
        <w:t>ed</w:t>
      </w:r>
      <w:r w:rsidRPr="003779C1">
        <w:t xml:space="preserve"> to secure broader benefits to support the achievement of development priorities for the national economy. </w:t>
      </w:r>
    </w:p>
    <w:p w:rsidR="008475A4" w:rsidRDefault="008475A4" w:rsidP="005B13CF">
      <w:pPr>
        <w:pStyle w:val="BlockText"/>
        <w:numPr>
          <w:ilvl w:val="0"/>
          <w:numId w:val="19"/>
        </w:numPr>
        <w:spacing w:before="240" w:after="240"/>
        <w:ind w:left="714" w:right="-28" w:hanging="357"/>
      </w:pPr>
      <w:r>
        <w:t xml:space="preserve">Communities are interested in benefitting from potential opportunities </w:t>
      </w:r>
      <w:r w:rsidR="00CC3CAA">
        <w:rPr>
          <w:rFonts w:eastAsia="MS Mincho"/>
        </w:rPr>
        <w:t xml:space="preserve">through </w:t>
      </w:r>
      <w:r>
        <w:rPr>
          <w:rFonts w:eastAsia="MS Mincho"/>
        </w:rPr>
        <w:t>employment</w:t>
      </w:r>
      <w:r w:rsidRPr="000953B0">
        <w:rPr>
          <w:rFonts w:eastAsia="MS Mincho"/>
        </w:rPr>
        <w:t xml:space="preserve">, </w:t>
      </w:r>
      <w:r w:rsidR="00CC3CAA">
        <w:rPr>
          <w:rFonts w:eastAsia="MS Mincho"/>
        </w:rPr>
        <w:t>providing services and supplies</w:t>
      </w:r>
      <w:r>
        <w:rPr>
          <w:rFonts w:eastAsia="MS Mincho"/>
        </w:rPr>
        <w:t xml:space="preserve">, </w:t>
      </w:r>
      <w:r w:rsidR="00CC3CAA">
        <w:rPr>
          <w:rFonts w:eastAsia="MS Mincho"/>
        </w:rPr>
        <w:t xml:space="preserve">access to </w:t>
      </w:r>
      <w:r w:rsidRPr="000953B0">
        <w:rPr>
          <w:rFonts w:eastAsia="MS Mincho"/>
        </w:rPr>
        <w:t xml:space="preserve">infrastructure, and </w:t>
      </w:r>
      <w:r w:rsidR="00CC3CAA">
        <w:rPr>
          <w:rFonts w:eastAsia="MS Mincho"/>
        </w:rPr>
        <w:t xml:space="preserve">other </w:t>
      </w:r>
      <w:r w:rsidRPr="000953B0">
        <w:rPr>
          <w:rFonts w:eastAsia="MS Mincho"/>
        </w:rPr>
        <w:t>community development</w:t>
      </w:r>
      <w:r w:rsidR="00CC3CAA">
        <w:rPr>
          <w:rFonts w:eastAsia="MS Mincho"/>
        </w:rPr>
        <w:t xml:space="preserve"> outcomes</w:t>
      </w:r>
      <w:r>
        <w:rPr>
          <w:rFonts w:eastAsia="MS Mincho"/>
        </w:rPr>
        <w:t>.</w:t>
      </w:r>
    </w:p>
    <w:p w:rsidR="008475A4" w:rsidRDefault="008475A4" w:rsidP="005B13CF">
      <w:pPr>
        <w:pStyle w:val="BlockText"/>
        <w:numPr>
          <w:ilvl w:val="0"/>
          <w:numId w:val="19"/>
        </w:numPr>
        <w:spacing w:before="240" w:after="240"/>
        <w:ind w:left="714" w:right="-30" w:hanging="357"/>
      </w:pPr>
      <w:r>
        <w:t>Investors, b</w:t>
      </w:r>
      <w:r w:rsidRPr="00CA46F5">
        <w:t>eyond financial contributions remunerated by return on capital</w:t>
      </w:r>
      <w:r>
        <w:t xml:space="preserve"> </w:t>
      </w:r>
      <w:r w:rsidRPr="0081269F">
        <w:t>(cost of equity and debt)</w:t>
      </w:r>
      <w:r>
        <w:t xml:space="preserve">, also </w:t>
      </w:r>
      <w:r w:rsidRPr="0081269F">
        <w:t xml:space="preserve">seek to be rewarded for </w:t>
      </w:r>
      <w:r>
        <w:t>the contributions made in terms of commitment</w:t>
      </w:r>
      <w:r w:rsidR="00281715">
        <w:t xml:space="preserve"> (against alternatives)</w:t>
      </w:r>
      <w:r>
        <w:t xml:space="preserve"> of </w:t>
      </w:r>
      <w:r w:rsidRPr="0081269F">
        <w:t>capital</w:t>
      </w:r>
      <w:r>
        <w:t xml:space="preserve">, </w:t>
      </w:r>
      <w:r w:rsidRPr="0081269F">
        <w:t>technical</w:t>
      </w:r>
      <w:r>
        <w:t xml:space="preserve"> and managerial expertise</w:t>
      </w:r>
      <w:r w:rsidRPr="0081269F">
        <w:t>, proprietary technology, operational experience and integrated solutions, all of which require significant development costs</w:t>
      </w:r>
      <w:r>
        <w:t xml:space="preserve">, and the </w:t>
      </w:r>
      <w:r w:rsidRPr="00253604">
        <w:t xml:space="preserve">risks taken </w:t>
      </w:r>
      <w:r w:rsidR="00281715">
        <w:t xml:space="preserve">and enduring over time </w:t>
      </w:r>
      <w:r w:rsidRPr="00253604">
        <w:t>to explore, develop</w:t>
      </w:r>
      <w:r>
        <w:t xml:space="preserve">, </w:t>
      </w:r>
      <w:r w:rsidRPr="00253604">
        <w:t xml:space="preserve">produce </w:t>
      </w:r>
      <w:r>
        <w:t xml:space="preserve">and commercialise </w:t>
      </w:r>
      <w:r w:rsidRPr="00253604">
        <w:t>the resource.</w:t>
      </w:r>
      <w:r>
        <w:t xml:space="preserve"> </w:t>
      </w:r>
    </w:p>
    <w:p w:rsidR="008475A4" w:rsidRDefault="008475A4" w:rsidP="005B13CF">
      <w:pPr>
        <w:pStyle w:val="ListParagraph"/>
        <w:numPr>
          <w:ilvl w:val="0"/>
          <w:numId w:val="19"/>
        </w:numPr>
        <w:autoSpaceDE w:val="0"/>
        <w:autoSpaceDN w:val="0"/>
        <w:adjustRightInd w:val="0"/>
        <w:spacing w:before="240" w:after="240"/>
        <w:ind w:left="714" w:hanging="357"/>
      </w:pPr>
      <w:r>
        <w:lastRenderedPageBreak/>
        <w:t xml:space="preserve">A balanced </w:t>
      </w:r>
      <w:r w:rsidR="00281715">
        <w:t xml:space="preserve">situation that </w:t>
      </w:r>
      <w:r>
        <w:t>recognis</w:t>
      </w:r>
      <w:r w:rsidR="00281715">
        <w:t>es</w:t>
      </w:r>
      <w:r>
        <w:t xml:space="preserve"> </w:t>
      </w:r>
      <w:r w:rsidR="00281715">
        <w:t xml:space="preserve">all of (a) </w:t>
      </w:r>
      <w:r>
        <w:t>the host countries</w:t>
      </w:r>
      <w:r w:rsidR="00281715">
        <w:t>’ interest</w:t>
      </w:r>
      <w:r>
        <w:t xml:space="preserve"> </w:t>
      </w:r>
      <w:r w:rsidRPr="00677436">
        <w:t xml:space="preserve">to develop </w:t>
      </w:r>
      <w:r w:rsidR="00281715">
        <w:t xml:space="preserve">its </w:t>
      </w:r>
      <w:r w:rsidRPr="00677436">
        <w:t>resource</w:t>
      </w:r>
      <w:r w:rsidR="00281715">
        <w:t>s</w:t>
      </w:r>
      <w:r w:rsidR="000606ED">
        <w:t xml:space="preserve"> </w:t>
      </w:r>
      <w:r w:rsidR="00281715">
        <w:t xml:space="preserve">in </w:t>
      </w:r>
      <w:r>
        <w:t>pursu</w:t>
      </w:r>
      <w:r w:rsidR="00281715">
        <w:t>it</w:t>
      </w:r>
      <w:r>
        <w:t xml:space="preserve"> </w:t>
      </w:r>
      <w:r w:rsidR="00281715">
        <w:t xml:space="preserve">of </w:t>
      </w:r>
      <w:r>
        <w:t>many-layered development objectives</w:t>
      </w:r>
      <w:r w:rsidR="00281715">
        <w:t>;</w:t>
      </w:r>
      <w:r w:rsidRPr="00677436">
        <w:t xml:space="preserve"> </w:t>
      </w:r>
      <w:r w:rsidR="00281715">
        <w:t xml:space="preserve">(b) </w:t>
      </w:r>
      <w:r>
        <w:t>communities’ interest to optimise local benefits</w:t>
      </w:r>
      <w:r w:rsidR="00281715">
        <w:t>,</w:t>
      </w:r>
      <w:r>
        <w:t xml:space="preserve"> and </w:t>
      </w:r>
      <w:r w:rsidR="00281715">
        <w:t xml:space="preserve">(c) </w:t>
      </w:r>
      <w:r>
        <w:t>investors’ need to be rewarded for the risks incurred and the</w:t>
      </w:r>
      <w:r w:rsidR="00281715">
        <w:t xml:space="preserve"> allocation of capital and organisational resources</w:t>
      </w:r>
      <w:r>
        <w:t xml:space="preserve"> is essential for extractives contracts to be sustainable in the long-term. </w:t>
      </w:r>
    </w:p>
    <w:p w:rsidR="008475A4" w:rsidRDefault="008475A4" w:rsidP="005B13CF">
      <w:pPr>
        <w:pStyle w:val="ListParagraph"/>
        <w:numPr>
          <w:ilvl w:val="0"/>
          <w:numId w:val="19"/>
        </w:numPr>
        <w:autoSpaceDE w:val="0"/>
        <w:autoSpaceDN w:val="0"/>
        <w:adjustRightInd w:val="0"/>
        <w:spacing w:before="240" w:after="240"/>
        <w:ind w:left="714" w:hanging="357"/>
      </w:pPr>
      <w:r w:rsidRPr="000354BD">
        <w:t>Durable contracts maintain an alignment of interests throughout the life-cycle</w:t>
      </w:r>
      <w:r>
        <w:t xml:space="preserve"> of the project</w:t>
      </w:r>
      <w:r w:rsidRPr="000354BD">
        <w:t xml:space="preserve">. </w:t>
      </w:r>
      <w:r w:rsidRPr="005B13CF">
        <w:rPr>
          <w:rFonts w:ascii="Times" w:eastAsia="MS Mincho" w:hAnsi="Times"/>
        </w:rPr>
        <w:t xml:space="preserve">The framework </w:t>
      </w:r>
      <w:r w:rsidR="006E116B">
        <w:rPr>
          <w:rFonts w:ascii="Times" w:eastAsia="MS Mincho" w:hAnsi="Times"/>
        </w:rPr>
        <w:t xml:space="preserve">for </w:t>
      </w:r>
      <w:r w:rsidR="00A12F29">
        <w:rPr>
          <w:rFonts w:ascii="Times" w:eastAsia="MS Mincho" w:hAnsi="Times"/>
        </w:rPr>
        <w:t xml:space="preserve">operation </w:t>
      </w:r>
      <w:r w:rsidRPr="005B13CF">
        <w:rPr>
          <w:rFonts w:ascii="Times" w:eastAsia="MS Mincho" w:hAnsi="Times"/>
        </w:rPr>
        <w:t xml:space="preserve">should be a balance of risks and rewards over the </w:t>
      </w:r>
      <w:r w:rsidR="00A12F29">
        <w:rPr>
          <w:rFonts w:ascii="Times" w:eastAsia="MS Mincho" w:hAnsi="Times"/>
        </w:rPr>
        <w:t xml:space="preserve">economic and </w:t>
      </w:r>
      <w:r w:rsidRPr="005B13CF">
        <w:rPr>
          <w:rFonts w:ascii="Times" w:eastAsia="MS Mincho" w:hAnsi="Times"/>
        </w:rPr>
        <w:t xml:space="preserve">financial returns for the investor. The outcome is then mutually beneficial, with governments, investors and communities sharing the </w:t>
      </w:r>
      <w:r w:rsidR="00445335">
        <w:rPr>
          <w:rFonts w:ascii="Times" w:eastAsia="MS Mincho" w:hAnsi="Times"/>
        </w:rPr>
        <w:t xml:space="preserve">risks and </w:t>
      </w:r>
      <w:r w:rsidRPr="005B13CF">
        <w:rPr>
          <w:rFonts w:ascii="Times" w:eastAsia="MS Mincho" w:hAnsi="Times"/>
        </w:rPr>
        <w:t xml:space="preserve">rewards and </w:t>
      </w:r>
      <w:r w:rsidR="006E116B" w:rsidRPr="005B13CF">
        <w:rPr>
          <w:rFonts w:ascii="Times" w:eastAsia="MS Mincho" w:hAnsi="Times"/>
        </w:rPr>
        <w:t xml:space="preserve">enjoying </w:t>
      </w:r>
      <w:r w:rsidRPr="005B13CF">
        <w:rPr>
          <w:rFonts w:ascii="Times" w:eastAsia="MS Mincho" w:hAnsi="Times"/>
        </w:rPr>
        <w:t xml:space="preserve">a more sustainable long-term relationship. </w:t>
      </w:r>
    </w:p>
    <w:p w:rsidR="008475A4" w:rsidRPr="000D3E11" w:rsidRDefault="008475A4" w:rsidP="005B13CF">
      <w:pPr>
        <w:pStyle w:val="ListParagraph"/>
        <w:numPr>
          <w:ilvl w:val="0"/>
          <w:numId w:val="19"/>
        </w:numPr>
        <w:autoSpaceDE w:val="0"/>
        <w:autoSpaceDN w:val="0"/>
        <w:adjustRightInd w:val="0"/>
        <w:spacing w:before="240" w:after="240"/>
      </w:pPr>
      <w:r w:rsidRPr="00AD4684">
        <w:t xml:space="preserve">When considering the </w:t>
      </w:r>
      <w:r w:rsidR="00DD38D5">
        <w:t xml:space="preserve">feasibility </w:t>
      </w:r>
      <w:r w:rsidRPr="00AD4684">
        <w:t xml:space="preserve">of a project, narrow financial </w:t>
      </w:r>
      <w:r>
        <w:t xml:space="preserve">modelling generally neither </w:t>
      </w:r>
      <w:r w:rsidRPr="00AD4684">
        <w:t>account</w:t>
      </w:r>
      <w:r>
        <w:t>s</w:t>
      </w:r>
      <w:r w:rsidRPr="00AD4684">
        <w:t xml:space="preserve"> for the additional costs linked to </w:t>
      </w:r>
      <w:r w:rsidR="00166AA9">
        <w:t>adverse social or envi</w:t>
      </w:r>
      <w:r w:rsidR="000606ED">
        <w:t>ronmental impacts of the project</w:t>
      </w:r>
      <w:r>
        <w:t>, nor for the costs</w:t>
      </w:r>
      <w:r w:rsidR="00445335">
        <w:t xml:space="preserve"> and benefits</w:t>
      </w:r>
      <w:r>
        <w:t xml:space="preserve"> associated with the optimisation of socio-economic benefits through suitable means</w:t>
      </w:r>
      <w:r>
        <w:rPr>
          <w:rStyle w:val="EndnoteReference"/>
        </w:rPr>
        <w:endnoteReference w:id="11"/>
      </w:r>
      <w:r w:rsidRPr="00AD4684">
        <w:t xml:space="preserve">. It is critical to ensure that </w:t>
      </w:r>
      <w:r>
        <w:t xml:space="preserve">fiscal and non-fiscal </w:t>
      </w:r>
      <w:r w:rsidRPr="00AD4684">
        <w:t>elements are integrated into the negotiations</w:t>
      </w:r>
      <w:r w:rsidR="00A12F29">
        <w:t xml:space="preserve"> and reflected in the agreement</w:t>
      </w:r>
      <w:r w:rsidRPr="00AD4684">
        <w:t xml:space="preserve">. </w:t>
      </w:r>
    </w:p>
    <w:p w:rsidR="00364FE3" w:rsidRDefault="008475A4" w:rsidP="005B13CF">
      <w:pPr>
        <w:pStyle w:val="BlockText"/>
        <w:numPr>
          <w:ilvl w:val="0"/>
          <w:numId w:val="19"/>
        </w:numPr>
        <w:spacing w:before="240" w:after="240"/>
        <w:ind w:right="-28"/>
        <w:rPr>
          <w:rFonts w:ascii="Times" w:eastAsia="MS Mincho" w:hAnsi="Times"/>
        </w:rPr>
      </w:pPr>
      <w:r w:rsidRPr="004966F8">
        <w:rPr>
          <w:rFonts w:ascii="Times" w:eastAsia="MS Mincho" w:hAnsi="Times"/>
        </w:rPr>
        <w:t>Risk is present at all stages of an extractive project’s life cycle.</w:t>
      </w:r>
      <w:r>
        <w:rPr>
          <w:rFonts w:ascii="Times" w:eastAsia="MS Mincho" w:hAnsi="Times"/>
        </w:rPr>
        <w:t xml:space="preserve"> The nature </w:t>
      </w:r>
      <w:r w:rsidR="00364FE3">
        <w:rPr>
          <w:rFonts w:ascii="Times" w:eastAsia="MS Mincho" w:hAnsi="Times"/>
        </w:rPr>
        <w:t xml:space="preserve">and degree </w:t>
      </w:r>
      <w:r>
        <w:rPr>
          <w:rFonts w:ascii="Times" w:eastAsia="MS Mincho" w:hAnsi="Times"/>
        </w:rPr>
        <w:t>of r</w:t>
      </w:r>
      <w:r w:rsidR="000606ED">
        <w:rPr>
          <w:rFonts w:ascii="Times" w:eastAsia="MS Mincho" w:hAnsi="Times"/>
        </w:rPr>
        <w:t>isks</w:t>
      </w:r>
      <w:r w:rsidRPr="00A93A87">
        <w:rPr>
          <w:rFonts w:ascii="Times" w:eastAsia="MS Mincho" w:hAnsi="Times"/>
        </w:rPr>
        <w:t xml:space="preserve"> are different </w:t>
      </w:r>
      <w:r w:rsidR="00364FE3">
        <w:rPr>
          <w:rFonts w:ascii="Times" w:eastAsia="MS Mincho" w:hAnsi="Times"/>
        </w:rPr>
        <w:t xml:space="preserve">at different times </w:t>
      </w:r>
      <w:r w:rsidRPr="00A93A87">
        <w:rPr>
          <w:rFonts w:ascii="Times" w:eastAsia="MS Mincho" w:hAnsi="Times"/>
        </w:rPr>
        <w:t xml:space="preserve">during the life cycle of </w:t>
      </w:r>
      <w:r>
        <w:rPr>
          <w:rFonts w:ascii="Times" w:eastAsia="MS Mincho" w:hAnsi="Times"/>
        </w:rPr>
        <w:t>an investment (</w:t>
      </w:r>
      <w:r w:rsidRPr="00FA0BBF">
        <w:rPr>
          <w:rFonts w:ascii="Times" w:eastAsia="MS Mincho" w:hAnsi="Times"/>
        </w:rPr>
        <w:t>exploration, development, production, processing and marketing</w:t>
      </w:r>
      <w:r>
        <w:rPr>
          <w:rFonts w:ascii="Times" w:eastAsia="MS Mincho" w:hAnsi="Times"/>
        </w:rPr>
        <w:t>, decommissioning and rehabilitation</w:t>
      </w:r>
      <w:r w:rsidRPr="00FA0BBF">
        <w:rPr>
          <w:rFonts w:ascii="Times" w:eastAsia="MS Mincho" w:hAnsi="Times"/>
        </w:rPr>
        <w:t>) and are context</w:t>
      </w:r>
      <w:r>
        <w:rPr>
          <w:rFonts w:ascii="Times" w:eastAsia="MS Mincho" w:hAnsi="Times"/>
        </w:rPr>
        <w:t xml:space="preserve"> dependent,</w:t>
      </w:r>
      <w:r w:rsidRPr="00FA0BBF">
        <w:rPr>
          <w:rFonts w:ascii="Times" w:eastAsia="MS Mincho" w:hAnsi="Times"/>
        </w:rPr>
        <w:t xml:space="preserve"> </w:t>
      </w:r>
      <w:r>
        <w:rPr>
          <w:rFonts w:ascii="Times" w:eastAsia="MS Mincho" w:hAnsi="Times"/>
        </w:rPr>
        <w:t>industry and project specific</w:t>
      </w:r>
      <w:r w:rsidRPr="00FA0BBF">
        <w:rPr>
          <w:rFonts w:ascii="Times" w:eastAsia="MS Mincho" w:hAnsi="Times"/>
        </w:rPr>
        <w:t>.</w:t>
      </w:r>
    </w:p>
    <w:p w:rsidR="00364FE3" w:rsidRDefault="00364FE3" w:rsidP="005B13CF">
      <w:pPr>
        <w:pStyle w:val="BlockText"/>
        <w:numPr>
          <w:ilvl w:val="0"/>
          <w:numId w:val="19"/>
        </w:numPr>
        <w:spacing w:before="240" w:after="240"/>
        <w:ind w:right="-28"/>
        <w:rPr>
          <w:rFonts w:ascii="Times" w:eastAsia="MS Mincho" w:hAnsi="Times"/>
        </w:rPr>
      </w:pPr>
      <w:r>
        <w:rPr>
          <w:rFonts w:ascii="Times" w:eastAsia="MS Mincho" w:hAnsi="Times"/>
        </w:rPr>
        <w:t xml:space="preserve">Furthermore, </w:t>
      </w:r>
      <w:r w:rsidR="008475A4">
        <w:rPr>
          <w:rFonts w:ascii="Times" w:eastAsia="MS Mincho" w:hAnsi="Times"/>
        </w:rPr>
        <w:t>perceptions of risk</w:t>
      </w:r>
      <w:r w:rsidR="00A12F29">
        <w:rPr>
          <w:rFonts w:ascii="Times" w:eastAsia="MS Mincho" w:hAnsi="Times"/>
        </w:rPr>
        <w:t xml:space="preserve"> and opportunities</w:t>
      </w:r>
      <w:r w:rsidR="008475A4">
        <w:rPr>
          <w:rFonts w:ascii="Times" w:eastAsia="MS Mincho" w:hAnsi="Times"/>
        </w:rPr>
        <w:t xml:space="preserve"> by different stakeholders </w:t>
      </w:r>
      <w:r>
        <w:rPr>
          <w:rFonts w:ascii="Times" w:eastAsia="MS Mincho" w:hAnsi="Times"/>
        </w:rPr>
        <w:t xml:space="preserve">may, before a common understanding is achieved, initially </w:t>
      </w:r>
      <w:r w:rsidR="008475A4">
        <w:rPr>
          <w:rFonts w:ascii="Times" w:eastAsia="MS Mincho" w:hAnsi="Times"/>
        </w:rPr>
        <w:t>vary</w:t>
      </w:r>
      <w:r>
        <w:rPr>
          <w:rFonts w:ascii="Times" w:eastAsia="MS Mincho" w:hAnsi="Times"/>
        </w:rPr>
        <w:t xml:space="preserve"> between them and do so again</w:t>
      </w:r>
      <w:r w:rsidR="008475A4">
        <w:rPr>
          <w:rFonts w:ascii="Times" w:eastAsia="MS Mincho" w:hAnsi="Times"/>
        </w:rPr>
        <w:t xml:space="preserve"> at different stages of the project</w:t>
      </w:r>
      <w:r>
        <w:rPr>
          <w:rFonts w:ascii="Times" w:eastAsia="MS Mincho" w:hAnsi="Times"/>
        </w:rPr>
        <w:t xml:space="preserve">. It is therefore very important that </w:t>
      </w:r>
      <w:r w:rsidR="008475A4">
        <w:rPr>
          <w:rFonts w:ascii="Times" w:eastAsia="MS Mincho" w:hAnsi="Times"/>
        </w:rPr>
        <w:t>common understanding is</w:t>
      </w:r>
      <w:r>
        <w:rPr>
          <w:rFonts w:ascii="Times" w:eastAsia="MS Mincho" w:hAnsi="Times"/>
        </w:rPr>
        <w:t xml:space="preserve"> built and maintained</w:t>
      </w:r>
      <w:r w:rsidR="008475A4">
        <w:rPr>
          <w:rFonts w:ascii="Times" w:eastAsia="MS Mincho" w:hAnsi="Times"/>
        </w:rPr>
        <w:t xml:space="preserve"> so that risks</w:t>
      </w:r>
      <w:r w:rsidR="00A12F29">
        <w:rPr>
          <w:rFonts w:ascii="Times" w:eastAsia="MS Mincho" w:hAnsi="Times"/>
        </w:rPr>
        <w:t xml:space="preserve"> and opportunities</w:t>
      </w:r>
      <w:r w:rsidR="008475A4">
        <w:rPr>
          <w:rFonts w:ascii="Times" w:eastAsia="MS Mincho" w:hAnsi="Times"/>
        </w:rPr>
        <w:t xml:space="preserve"> are recognised and fully appreciated</w:t>
      </w:r>
      <w:r>
        <w:rPr>
          <w:rFonts w:ascii="Times" w:eastAsia="MS Mincho" w:hAnsi="Times"/>
        </w:rPr>
        <w:t>.</w:t>
      </w:r>
      <w:r w:rsidR="008475A4">
        <w:rPr>
          <w:rFonts w:ascii="Times" w:eastAsia="MS Mincho" w:hAnsi="Times"/>
        </w:rPr>
        <w:t xml:space="preserve"> </w:t>
      </w:r>
    </w:p>
    <w:p w:rsidR="00E77D4A" w:rsidRPr="003E65A7" w:rsidRDefault="008475A4" w:rsidP="005B13CF">
      <w:pPr>
        <w:pStyle w:val="BlockText"/>
        <w:numPr>
          <w:ilvl w:val="0"/>
          <w:numId w:val="19"/>
        </w:numPr>
        <w:spacing w:before="240" w:after="240"/>
        <w:ind w:right="-28"/>
        <w:rPr>
          <w:rFonts w:ascii="Times" w:eastAsia="MS Mincho" w:hAnsi="Times"/>
        </w:rPr>
      </w:pPr>
      <w:r w:rsidRPr="00026A5B">
        <w:rPr>
          <w:rFonts w:ascii="Times" w:eastAsia="MS Mincho" w:hAnsi="Times"/>
        </w:rPr>
        <w:t xml:space="preserve">Resource projects are subject to considerable </w:t>
      </w:r>
      <w:r w:rsidR="00CC3CAA">
        <w:rPr>
          <w:rFonts w:ascii="Times" w:eastAsia="MS Mincho" w:hAnsi="Times"/>
        </w:rPr>
        <w:t xml:space="preserve">risk and </w:t>
      </w:r>
      <w:r w:rsidRPr="00026A5B">
        <w:rPr>
          <w:rFonts w:ascii="Times" w:eastAsia="MS Mincho" w:hAnsi="Times"/>
        </w:rPr>
        <w:t>uncertainty at all stages</w:t>
      </w:r>
      <w:r w:rsidR="00CC3CAA">
        <w:rPr>
          <w:rFonts w:ascii="Times" w:eastAsia="MS Mincho" w:hAnsi="Times"/>
        </w:rPr>
        <w:t xml:space="preserve"> of an extractive project’s life cycle</w:t>
      </w:r>
      <w:r w:rsidRPr="00026A5B">
        <w:rPr>
          <w:rFonts w:ascii="Times" w:eastAsia="MS Mincho" w:hAnsi="Times"/>
        </w:rPr>
        <w:t>, from</w:t>
      </w:r>
      <w:r>
        <w:rPr>
          <w:rFonts w:ascii="Times" w:eastAsia="MS Mincho" w:hAnsi="Times"/>
        </w:rPr>
        <w:t xml:space="preserve"> </w:t>
      </w:r>
      <w:r w:rsidRPr="00026A5B">
        <w:rPr>
          <w:rFonts w:ascii="Times" w:eastAsia="MS Mincho" w:hAnsi="Times"/>
        </w:rPr>
        <w:t xml:space="preserve">exploration through development </w:t>
      </w:r>
      <w:r>
        <w:rPr>
          <w:rFonts w:ascii="Times" w:eastAsia="MS Mincho" w:hAnsi="Times"/>
        </w:rPr>
        <w:t xml:space="preserve">to extraction and </w:t>
      </w:r>
      <w:r w:rsidR="00CC3CAA">
        <w:rPr>
          <w:rFonts w:ascii="Times" w:eastAsia="MS Mincho" w:hAnsi="Times"/>
        </w:rPr>
        <w:t>decommissioning/</w:t>
      </w:r>
      <w:r>
        <w:rPr>
          <w:rFonts w:ascii="Times" w:eastAsia="MS Mincho" w:hAnsi="Times"/>
        </w:rPr>
        <w:t>closure. T</w:t>
      </w:r>
      <w:r w:rsidRPr="00026A5B">
        <w:rPr>
          <w:rFonts w:ascii="Times" w:eastAsia="MS Mincho" w:hAnsi="Times"/>
        </w:rPr>
        <w:t xml:space="preserve">here is uncertainty about </w:t>
      </w:r>
      <w:r>
        <w:rPr>
          <w:rFonts w:ascii="Times" w:eastAsia="MS Mincho" w:hAnsi="Times"/>
        </w:rPr>
        <w:t xml:space="preserve">geological potential, in terms of </w:t>
      </w:r>
      <w:r w:rsidRPr="00026A5B">
        <w:rPr>
          <w:rFonts w:ascii="Times" w:eastAsia="MS Mincho" w:hAnsi="Times"/>
        </w:rPr>
        <w:t>quantity</w:t>
      </w:r>
      <w:r>
        <w:rPr>
          <w:rFonts w:ascii="Times" w:eastAsia="MS Mincho" w:hAnsi="Times"/>
        </w:rPr>
        <w:t xml:space="preserve">, quality, </w:t>
      </w:r>
      <w:proofErr w:type="gramStart"/>
      <w:r>
        <w:rPr>
          <w:rFonts w:ascii="Times" w:eastAsia="MS Mincho" w:hAnsi="Times"/>
        </w:rPr>
        <w:t>accessibility</w:t>
      </w:r>
      <w:proofErr w:type="gramEnd"/>
      <w:r>
        <w:rPr>
          <w:rFonts w:ascii="Times" w:eastAsia="MS Mincho" w:hAnsi="Times"/>
        </w:rPr>
        <w:t xml:space="preserve"> of the resource </w:t>
      </w:r>
      <w:r w:rsidRPr="00026A5B">
        <w:rPr>
          <w:rFonts w:ascii="Times" w:eastAsia="MS Mincho" w:hAnsi="Times"/>
        </w:rPr>
        <w:t>and the cost</w:t>
      </w:r>
      <w:r>
        <w:rPr>
          <w:rFonts w:ascii="Times" w:eastAsia="MS Mincho" w:hAnsi="Times"/>
        </w:rPr>
        <w:t>s</w:t>
      </w:r>
      <w:r w:rsidRPr="00026A5B">
        <w:rPr>
          <w:rFonts w:ascii="Times" w:eastAsia="MS Mincho" w:hAnsi="Times"/>
        </w:rPr>
        <w:t xml:space="preserve"> of extracting it.</w:t>
      </w:r>
      <w:r>
        <w:rPr>
          <w:rFonts w:ascii="Times" w:eastAsia="MS Mincho" w:hAnsi="Times"/>
        </w:rPr>
        <w:t xml:space="preserve"> </w:t>
      </w:r>
      <w:r w:rsidR="00CC3CAA">
        <w:rPr>
          <w:rFonts w:ascii="Times" w:eastAsia="MS Mincho" w:hAnsi="Times"/>
        </w:rPr>
        <w:t>Exposure to g</w:t>
      </w:r>
      <w:r>
        <w:rPr>
          <w:rFonts w:ascii="Times" w:eastAsia="MS Mincho" w:hAnsi="Times"/>
        </w:rPr>
        <w:t xml:space="preserve">eological risk diminishes </w:t>
      </w:r>
      <w:r w:rsidR="00CC3CAA">
        <w:rPr>
          <w:rFonts w:ascii="Times" w:eastAsia="MS Mincho" w:hAnsi="Times"/>
        </w:rPr>
        <w:t xml:space="preserve">as </w:t>
      </w:r>
      <w:r>
        <w:rPr>
          <w:rFonts w:ascii="Times" w:eastAsia="MS Mincho" w:hAnsi="Times"/>
        </w:rPr>
        <w:t>more information is acquired</w:t>
      </w:r>
      <w:r w:rsidRPr="00EA17BE">
        <w:rPr>
          <w:rFonts w:ascii="Times" w:eastAsia="MS Mincho" w:hAnsi="Times"/>
        </w:rPr>
        <w:t xml:space="preserve">. The </w:t>
      </w:r>
      <w:r w:rsidR="006E116B">
        <w:rPr>
          <w:rFonts w:ascii="Times" w:eastAsia="MS Mincho" w:hAnsi="Times"/>
        </w:rPr>
        <w:t>access to</w:t>
      </w:r>
      <w:r w:rsidRPr="00EA17BE">
        <w:rPr>
          <w:rFonts w:ascii="Times" w:eastAsia="MS Mincho" w:hAnsi="Times"/>
        </w:rPr>
        <w:t xml:space="preserve"> </w:t>
      </w:r>
      <w:r w:rsidR="00364FE3">
        <w:rPr>
          <w:rFonts w:ascii="Times" w:eastAsia="MS Mincho" w:hAnsi="Times"/>
        </w:rPr>
        <w:t xml:space="preserve">geological and </w:t>
      </w:r>
      <w:r w:rsidRPr="00EA17BE">
        <w:rPr>
          <w:rFonts w:ascii="Times" w:eastAsia="MS Mincho" w:hAnsi="Times"/>
        </w:rPr>
        <w:t xml:space="preserve">geophysical data by host governments can reduce perception of risk. In mature areas where </w:t>
      </w:r>
      <w:r w:rsidR="00E77D4A">
        <w:rPr>
          <w:rFonts w:ascii="Times" w:eastAsia="MS Mincho" w:hAnsi="Times"/>
        </w:rPr>
        <w:t xml:space="preserve">there is greater </w:t>
      </w:r>
      <w:r>
        <w:rPr>
          <w:rFonts w:ascii="Times" w:eastAsia="MS Mincho" w:hAnsi="Times"/>
        </w:rPr>
        <w:t xml:space="preserve">geological </w:t>
      </w:r>
      <w:r w:rsidR="00E77D4A">
        <w:rPr>
          <w:rFonts w:ascii="Times" w:eastAsia="MS Mincho" w:hAnsi="Times"/>
        </w:rPr>
        <w:t xml:space="preserve">knowledge </w:t>
      </w:r>
      <w:r w:rsidRPr="00EA17BE">
        <w:rPr>
          <w:rFonts w:ascii="Times" w:eastAsia="MS Mincho" w:hAnsi="Times"/>
        </w:rPr>
        <w:t>and there is an established industry with on-going production, risk exposure is</w:t>
      </w:r>
      <w:r w:rsidR="00E77D4A">
        <w:rPr>
          <w:rFonts w:ascii="Times" w:eastAsia="MS Mincho" w:hAnsi="Times"/>
        </w:rPr>
        <w:t>, is less though it is far from eliminated</w:t>
      </w:r>
      <w:r w:rsidRPr="00EA17BE">
        <w:rPr>
          <w:rFonts w:ascii="Times" w:eastAsia="MS Mincho" w:hAnsi="Times"/>
        </w:rPr>
        <w:t>.</w:t>
      </w:r>
      <w:r>
        <w:rPr>
          <w:rFonts w:ascii="Times" w:eastAsia="MS Mincho" w:hAnsi="Times"/>
        </w:rPr>
        <w:t xml:space="preserve"> By the time production starts, sunk costs associated with substantial capital investment expose investors to p</w:t>
      </w:r>
      <w:r w:rsidRPr="00EA17BE">
        <w:rPr>
          <w:rFonts w:ascii="Times" w:eastAsia="MS Mincho" w:hAnsi="Times"/>
        </w:rPr>
        <w:t>olitical (</w:t>
      </w:r>
      <w:r>
        <w:rPr>
          <w:rFonts w:ascii="Times" w:eastAsia="MS Mincho" w:hAnsi="Times"/>
        </w:rPr>
        <w:t>expropriation and unilateral regulatory changes)</w:t>
      </w:r>
      <w:r w:rsidRPr="00EA17BE">
        <w:rPr>
          <w:rFonts w:ascii="Times" w:eastAsia="MS Mincho" w:hAnsi="Times"/>
        </w:rPr>
        <w:t xml:space="preserve"> and </w:t>
      </w:r>
      <w:r>
        <w:rPr>
          <w:rFonts w:ascii="Times" w:eastAsia="MS Mincho" w:hAnsi="Times"/>
        </w:rPr>
        <w:t xml:space="preserve">economic </w:t>
      </w:r>
      <w:r w:rsidRPr="00EA17BE">
        <w:rPr>
          <w:rFonts w:ascii="Times" w:eastAsia="MS Mincho" w:hAnsi="Times"/>
        </w:rPr>
        <w:t>risks</w:t>
      </w:r>
      <w:r>
        <w:rPr>
          <w:rFonts w:ascii="Times" w:eastAsia="MS Mincho" w:hAnsi="Times"/>
        </w:rPr>
        <w:t xml:space="preserve">, given the </w:t>
      </w:r>
      <w:r w:rsidRPr="00EA17BE">
        <w:rPr>
          <w:rFonts w:ascii="Times" w:eastAsia="MS Mincho" w:hAnsi="Times"/>
        </w:rPr>
        <w:t xml:space="preserve">long payback period </w:t>
      </w:r>
      <w:r>
        <w:rPr>
          <w:rFonts w:ascii="Times" w:eastAsia="MS Mincho" w:hAnsi="Times"/>
        </w:rPr>
        <w:t>bef</w:t>
      </w:r>
      <w:r w:rsidRPr="00EA17BE">
        <w:rPr>
          <w:rFonts w:ascii="Times" w:eastAsia="MS Mincho" w:hAnsi="Times"/>
        </w:rPr>
        <w:t>ore revenues are generated and the initial investment recovered. Meanwhile, uncertainties inherent in the economics of resource extraction (recovery factor, reservoir or deposit performance, project cost, price) persist.</w:t>
      </w:r>
      <w:r w:rsidR="003E65A7">
        <w:rPr>
          <w:rFonts w:ascii="Times" w:eastAsia="MS Mincho" w:hAnsi="Times"/>
        </w:rPr>
        <w:t xml:space="preserve"> </w:t>
      </w:r>
      <w:r>
        <w:t>While expropriation, tax and other policy changes are under government control, m</w:t>
      </w:r>
      <w:r w:rsidRPr="004B35D2">
        <w:t>any risks are outside of either party’s control</w:t>
      </w:r>
      <w:r>
        <w:t xml:space="preserve"> (</w:t>
      </w:r>
      <w:r w:rsidRPr="004B35D2">
        <w:t xml:space="preserve">risk that </w:t>
      </w:r>
      <w:r>
        <w:t xml:space="preserve">resources </w:t>
      </w:r>
      <w:r w:rsidRPr="004B35D2">
        <w:t xml:space="preserve">are not present, uncertainty regarding the </w:t>
      </w:r>
      <w:r>
        <w:t xml:space="preserve">volume and </w:t>
      </w:r>
      <w:r w:rsidRPr="004B35D2">
        <w:t>technical quality of any discoveries and market risks</w:t>
      </w:r>
      <w:r>
        <w:t xml:space="preserve"> related to price and costs</w:t>
      </w:r>
      <w:r w:rsidR="00E77D4A">
        <w:t>, including initial capital costs of development</w:t>
      </w:r>
      <w:r>
        <w:t>)</w:t>
      </w:r>
      <w:r w:rsidRPr="004B35D2">
        <w:t>.</w:t>
      </w:r>
      <w:r>
        <w:t xml:space="preserve"> </w:t>
      </w:r>
    </w:p>
    <w:p w:rsidR="008475A4" w:rsidRDefault="008475A4" w:rsidP="005B13CF">
      <w:pPr>
        <w:pStyle w:val="BlockText"/>
        <w:numPr>
          <w:ilvl w:val="0"/>
          <w:numId w:val="19"/>
        </w:numPr>
        <w:spacing w:before="240" w:after="240"/>
        <w:ind w:right="-28"/>
        <w:rPr>
          <w:rFonts w:ascii="Times" w:eastAsia="MS Mincho" w:hAnsi="Times"/>
        </w:rPr>
      </w:pPr>
      <w:r>
        <w:rPr>
          <w:rFonts w:ascii="Times" w:eastAsia="MS Mincho" w:hAnsi="Times"/>
        </w:rPr>
        <w:t>Social risk is as important as other risks. If ther</w:t>
      </w:r>
      <w:r w:rsidR="00AB6853">
        <w:rPr>
          <w:rFonts w:ascii="Times" w:eastAsia="MS Mincho" w:hAnsi="Times"/>
        </w:rPr>
        <w:t xml:space="preserve">e is not a clear perception of </w:t>
      </w:r>
      <w:r w:rsidR="00E77D4A">
        <w:rPr>
          <w:rFonts w:ascii="Times" w:eastAsia="MS Mincho" w:hAnsi="Times"/>
        </w:rPr>
        <w:t xml:space="preserve">‘felt’ social </w:t>
      </w:r>
      <w:r>
        <w:rPr>
          <w:rFonts w:ascii="Times" w:eastAsia="MS Mincho" w:hAnsi="Times"/>
        </w:rPr>
        <w:t xml:space="preserve">benefit at the national and community level, irrespective of expected </w:t>
      </w:r>
      <w:r w:rsidR="008A09A4">
        <w:rPr>
          <w:rFonts w:ascii="Times" w:eastAsia="MS Mincho" w:hAnsi="Times"/>
        </w:rPr>
        <w:t xml:space="preserve">or actual </w:t>
      </w:r>
      <w:r>
        <w:rPr>
          <w:rFonts w:ascii="Times" w:eastAsia="MS Mincho" w:hAnsi="Times"/>
        </w:rPr>
        <w:t xml:space="preserve">financial </w:t>
      </w:r>
      <w:r w:rsidR="008A09A4">
        <w:rPr>
          <w:rFonts w:ascii="Times" w:eastAsia="MS Mincho" w:hAnsi="Times"/>
        </w:rPr>
        <w:t>benefit</w:t>
      </w:r>
      <w:r>
        <w:rPr>
          <w:rFonts w:ascii="Times" w:eastAsia="MS Mincho" w:hAnsi="Times"/>
        </w:rPr>
        <w:t xml:space="preserve">s, the project </w:t>
      </w:r>
      <w:r w:rsidR="008A09A4">
        <w:rPr>
          <w:rFonts w:ascii="Times" w:eastAsia="MS Mincho" w:hAnsi="Times"/>
        </w:rPr>
        <w:t xml:space="preserve">may </w:t>
      </w:r>
      <w:r>
        <w:rPr>
          <w:rFonts w:ascii="Times" w:eastAsia="MS Mincho" w:hAnsi="Times"/>
        </w:rPr>
        <w:t xml:space="preserve">be at risk. Social risk </w:t>
      </w:r>
      <w:r w:rsidR="008A09A4">
        <w:rPr>
          <w:rFonts w:ascii="Times" w:eastAsia="MS Mincho" w:hAnsi="Times"/>
        </w:rPr>
        <w:t xml:space="preserve">is influenced by many factors, including </w:t>
      </w:r>
      <w:r>
        <w:rPr>
          <w:rFonts w:ascii="Times" w:eastAsia="MS Mincho" w:hAnsi="Times"/>
        </w:rPr>
        <w:t>the operating environment</w:t>
      </w:r>
      <w:r w:rsidR="008A09A4">
        <w:rPr>
          <w:rFonts w:ascii="Times" w:eastAsia="MS Mincho" w:hAnsi="Times"/>
        </w:rPr>
        <w:t>, project footprint</w:t>
      </w:r>
      <w:r>
        <w:rPr>
          <w:rFonts w:ascii="Times" w:eastAsia="MS Mincho" w:hAnsi="Times"/>
        </w:rPr>
        <w:t xml:space="preserve"> and </w:t>
      </w:r>
      <w:r w:rsidR="008A09A4">
        <w:rPr>
          <w:rFonts w:ascii="Times" w:eastAsia="MS Mincho" w:hAnsi="Times"/>
        </w:rPr>
        <w:t xml:space="preserve">may be higher </w:t>
      </w:r>
      <w:r>
        <w:rPr>
          <w:rFonts w:ascii="Times" w:eastAsia="MS Mincho" w:hAnsi="Times"/>
        </w:rPr>
        <w:t>in mining and l</w:t>
      </w:r>
      <w:r w:rsidRPr="008177C4">
        <w:rPr>
          <w:rFonts w:ascii="Times" w:eastAsia="MS Mincho" w:hAnsi="Times"/>
        </w:rPr>
        <w:t>arge</w:t>
      </w:r>
      <w:r>
        <w:rPr>
          <w:rFonts w:ascii="Times" w:eastAsia="MS Mincho" w:hAnsi="Times"/>
        </w:rPr>
        <w:t>-scale on-shore oil and gas investments, than</w:t>
      </w:r>
      <w:r w:rsidRPr="008177C4">
        <w:rPr>
          <w:rFonts w:ascii="Times" w:eastAsia="MS Mincho" w:hAnsi="Times"/>
        </w:rPr>
        <w:t xml:space="preserve"> </w:t>
      </w:r>
      <w:r>
        <w:rPr>
          <w:rFonts w:ascii="Times" w:eastAsia="MS Mincho" w:hAnsi="Times"/>
        </w:rPr>
        <w:t>off-</w:t>
      </w:r>
      <w:r w:rsidRPr="008177C4">
        <w:rPr>
          <w:rFonts w:ascii="Times" w:eastAsia="MS Mincho" w:hAnsi="Times"/>
        </w:rPr>
        <w:t xml:space="preserve">shore oil and </w:t>
      </w:r>
      <w:r>
        <w:rPr>
          <w:rFonts w:ascii="Times" w:eastAsia="MS Mincho" w:hAnsi="Times"/>
        </w:rPr>
        <w:t xml:space="preserve">gas. </w:t>
      </w:r>
    </w:p>
    <w:p w:rsidR="008475A4" w:rsidRDefault="008475A4" w:rsidP="00C5051C">
      <w:pPr>
        <w:pStyle w:val="Heading1"/>
        <w:numPr>
          <w:ilvl w:val="0"/>
          <w:numId w:val="0"/>
        </w:numPr>
        <w:spacing w:before="240" w:after="240"/>
        <w:jc w:val="both"/>
        <w:rPr>
          <w:color w:val="auto"/>
          <w:sz w:val="22"/>
          <w:szCs w:val="22"/>
        </w:rPr>
      </w:pPr>
      <w:bookmarkStart w:id="10" w:name="_Toc483918892"/>
      <w:r w:rsidRPr="00C5051C">
        <w:rPr>
          <w:color w:val="auto"/>
          <w:sz w:val="22"/>
          <w:szCs w:val="22"/>
        </w:rPr>
        <w:lastRenderedPageBreak/>
        <w:t>Commentary on Guiding Principles IV</w:t>
      </w:r>
      <w:bookmarkEnd w:id="10"/>
      <w:r w:rsidRPr="00C5051C">
        <w:rPr>
          <w:color w:val="auto"/>
          <w:sz w:val="22"/>
          <w:szCs w:val="22"/>
        </w:rPr>
        <w:t xml:space="preserve"> </w:t>
      </w:r>
    </w:p>
    <w:p w:rsidR="00E77D4A" w:rsidRPr="00E77D4A" w:rsidRDefault="00E77D4A" w:rsidP="00E77D4A">
      <w:pPr>
        <w:pStyle w:val="Para1"/>
        <w:ind w:left="0" w:right="85"/>
        <w:rPr>
          <w:b/>
        </w:rPr>
      </w:pPr>
      <w:r w:rsidRPr="00E77D4A">
        <w:rPr>
          <w:b/>
        </w:rPr>
        <w:t xml:space="preserve">Durable extractive contracts seek to maximise overall value, including economic, social and environmental outcomes to be drawn from </w:t>
      </w:r>
      <w:r w:rsidRPr="00E77D4A">
        <w:rPr>
          <w:b/>
          <w:lang w:val="en"/>
        </w:rPr>
        <w:t xml:space="preserve">the development of the host country’s resources. </w:t>
      </w:r>
      <w:r w:rsidRPr="00E77D4A">
        <w:rPr>
          <w:b/>
        </w:rPr>
        <w:t>To the extent not covered by the applicable law, durable extractive contracts provide for the identification and management of potential adverse environmental, health, safety and social impacts of the extractive project and establish clear roles and responsibilities for the host government and the investor for the prevention, mitigation and remediation of those impacts, in consultation with affected communities. </w:t>
      </w:r>
    </w:p>
    <w:p w:rsidR="00C91AB9" w:rsidRDefault="008475A4" w:rsidP="008475A4">
      <w:pPr>
        <w:pStyle w:val="ListParagraph"/>
        <w:numPr>
          <w:ilvl w:val="0"/>
          <w:numId w:val="19"/>
        </w:numPr>
        <w:autoSpaceDE w:val="0"/>
        <w:autoSpaceDN w:val="0"/>
        <w:adjustRightInd w:val="0"/>
      </w:pPr>
      <w:r w:rsidRPr="00066D9B">
        <w:t xml:space="preserve">From a sustainable development perspective, the notion of full value (the “size of the pie”) is understood as encompassing a wide range of important elements that can positively or negatively affect the economic viability of the investment. These include: (1) the maximisation of the </w:t>
      </w:r>
      <w:r w:rsidR="008A09A4">
        <w:t xml:space="preserve">economic </w:t>
      </w:r>
      <w:r w:rsidRPr="00066D9B">
        <w:t xml:space="preserve">value from the resource base; (2) </w:t>
      </w:r>
      <w:r w:rsidR="00166AA9">
        <w:t xml:space="preserve">creation </w:t>
      </w:r>
      <w:r>
        <w:t xml:space="preserve">of opportunities for positive </w:t>
      </w:r>
      <w:r w:rsidR="00166AA9">
        <w:t>socio-economic outcomes</w:t>
      </w:r>
      <w:r>
        <w:t xml:space="preserve">, by </w:t>
      </w:r>
      <w:r w:rsidRPr="00066D9B">
        <w:t>leveraging</w:t>
      </w:r>
      <w:r w:rsidR="00E77D4A">
        <w:t>, so far as economically practicable, in favo</w:t>
      </w:r>
      <w:r w:rsidR="009F5D4F">
        <w:t>ur of the host country</w:t>
      </w:r>
      <w:r w:rsidR="00E77D4A">
        <w:t>, region and communities</w:t>
      </w:r>
      <w:r w:rsidRPr="00066D9B">
        <w:t xml:space="preserve"> </w:t>
      </w:r>
      <w:r w:rsidR="00166AA9">
        <w:t xml:space="preserve">the </w:t>
      </w:r>
      <w:r>
        <w:t xml:space="preserve">project’s demand and </w:t>
      </w:r>
      <w:r w:rsidRPr="00066D9B">
        <w:t xml:space="preserve">expenditures on goods, services and infrastructure </w:t>
      </w:r>
      <w:r>
        <w:t xml:space="preserve">requirements </w:t>
      </w:r>
      <w:r w:rsidRPr="00066D9B">
        <w:t>(</w:t>
      </w:r>
      <w:r w:rsidRPr="001651D8">
        <w:t>roads, ports, railways, power plants, pipelines, telecommunications, water, warehouses, and logistics terminals</w:t>
      </w:r>
      <w:r w:rsidRPr="00066D9B">
        <w:t>)</w:t>
      </w:r>
      <w:r>
        <w:t xml:space="preserve"> that are necessary for the viability of </w:t>
      </w:r>
      <w:r w:rsidRPr="00066D9B">
        <w:t>the project</w:t>
      </w:r>
      <w:r w:rsidR="00166AA9">
        <w:t>, and</w:t>
      </w:r>
      <w:r w:rsidRPr="00066D9B">
        <w:t xml:space="preserve"> local purchasing</w:t>
      </w:r>
      <w:r w:rsidR="00E77D4A">
        <w:t xml:space="preserve"> and</w:t>
      </w:r>
      <w:r w:rsidRPr="00066D9B">
        <w:t xml:space="preserve"> employment, and </w:t>
      </w:r>
      <w:r w:rsidR="00E77D4A">
        <w:t xml:space="preserve">for the </w:t>
      </w:r>
      <w:r w:rsidRPr="00066D9B">
        <w:t>shared use of infrastructure</w:t>
      </w:r>
      <w:r>
        <w:t xml:space="preserve"> (whilst recognising the vital contribution to economic viability that is made by the global sourcing of many inputs</w:t>
      </w:r>
      <w:r w:rsidR="00C91AB9">
        <w:t xml:space="preserve"> for the quality, timeliness,</w:t>
      </w:r>
      <w:r w:rsidR="00695EA0">
        <w:t xml:space="preserve"> reliability and cost such</w:t>
      </w:r>
      <w:r w:rsidR="00C91AB9">
        <w:t xml:space="preserve"> sourcing achieves</w:t>
      </w:r>
      <w:r>
        <w:t>)</w:t>
      </w:r>
      <w:r>
        <w:rPr>
          <w:rStyle w:val="EndnoteReference"/>
        </w:rPr>
        <w:endnoteReference w:id="12"/>
      </w:r>
      <w:r w:rsidRPr="00066D9B">
        <w:t xml:space="preserve">. </w:t>
      </w:r>
    </w:p>
    <w:p w:rsidR="00C91AB9" w:rsidRDefault="00C91AB9" w:rsidP="003E65A7">
      <w:pPr>
        <w:pStyle w:val="ListParagraph"/>
        <w:autoSpaceDE w:val="0"/>
        <w:autoSpaceDN w:val="0"/>
        <w:adjustRightInd w:val="0"/>
        <w:ind w:left="720"/>
      </w:pPr>
    </w:p>
    <w:p w:rsidR="008475A4" w:rsidRDefault="008475A4" w:rsidP="008475A4">
      <w:pPr>
        <w:pStyle w:val="ListParagraph"/>
        <w:numPr>
          <w:ilvl w:val="0"/>
          <w:numId w:val="19"/>
        </w:numPr>
        <w:autoSpaceDE w:val="0"/>
        <w:autoSpaceDN w:val="0"/>
        <w:adjustRightInd w:val="0"/>
      </w:pPr>
      <w:r>
        <w:t>A</w:t>
      </w:r>
      <w:r w:rsidRPr="00066D9B">
        <w:t>ffirmative efforts are necessary to establish these linkages and optimise infrastructure design through appropriate planning</w:t>
      </w:r>
      <w:r w:rsidR="00C91AB9">
        <w:t>. However</w:t>
      </w:r>
      <w:r w:rsidRPr="00066D9B">
        <w:t>,</w:t>
      </w:r>
      <w:r>
        <w:t xml:space="preserve"> at the same time governments need to realise what </w:t>
      </w:r>
      <w:r w:rsidRPr="00066D9B">
        <w:t xml:space="preserve">the trade-offs are, as incremental costs may result in reduced revenues, unless these costs are taken up by </w:t>
      </w:r>
      <w:r w:rsidR="00166AA9">
        <w:t>the host government</w:t>
      </w:r>
      <w:r w:rsidR="0078550C">
        <w:t>,</w:t>
      </w:r>
      <w:r w:rsidR="00166AA9">
        <w:t xml:space="preserve"> </w:t>
      </w:r>
      <w:r w:rsidRPr="00066D9B">
        <w:t xml:space="preserve">development banks or donors. </w:t>
      </w:r>
      <w:r>
        <w:t xml:space="preserve">It is recognised that it may not always be possible to </w:t>
      </w:r>
      <w:r w:rsidR="00C91AB9">
        <w:t xml:space="preserve">fully </w:t>
      </w:r>
      <w:r>
        <w:t xml:space="preserve">maximise economic, </w:t>
      </w:r>
      <w:r w:rsidRPr="004676C9">
        <w:t>social and environmental benefits</w:t>
      </w:r>
      <w:r>
        <w:t xml:space="preserve"> all at the same time. Rather, a host government may have to make trade-offs in order to meet prioritised policy objectives and attract investment. </w:t>
      </w:r>
      <w:r w:rsidRPr="00066D9B">
        <w:t xml:space="preserve">That said, the </w:t>
      </w:r>
      <w:r w:rsidR="00C91AB9">
        <w:t xml:space="preserve">incremental </w:t>
      </w:r>
      <w:r w:rsidRPr="00066D9B">
        <w:t>costs can</w:t>
      </w:r>
      <w:r w:rsidR="00C91AB9">
        <w:t xml:space="preserve"> on occasions</w:t>
      </w:r>
      <w:r w:rsidRPr="00066D9B">
        <w:t xml:space="preserve"> be small compared to the significant benefits that may accrue from the </w:t>
      </w:r>
      <w:r w:rsidR="00166AA9">
        <w:t>proje</w:t>
      </w:r>
      <w:r w:rsidRPr="00066D9B">
        <w:t>ct</w:t>
      </w:r>
      <w:r w:rsidR="00C91AB9">
        <w:t xml:space="preserve"> – though for </w:t>
      </w:r>
      <w:r w:rsidR="008A09A4">
        <w:t>some</w:t>
      </w:r>
      <w:r w:rsidR="00AB6853">
        <w:t xml:space="preserve"> </w:t>
      </w:r>
      <w:r w:rsidR="0091791A">
        <w:t xml:space="preserve">extractive </w:t>
      </w:r>
      <w:r w:rsidR="00C91AB9">
        <w:t xml:space="preserve">projects the cost and net present value impact </w:t>
      </w:r>
      <w:r w:rsidR="00695EA0">
        <w:t>of such incremental costs can make the difference between being able to achieve investment viability or not</w:t>
      </w:r>
      <w:r w:rsidRPr="00066D9B">
        <w:t xml:space="preserve">. </w:t>
      </w:r>
    </w:p>
    <w:p w:rsidR="00695EA0" w:rsidRPr="00695EA0" w:rsidRDefault="008475A4" w:rsidP="00953A30">
      <w:pPr>
        <w:pStyle w:val="ListParagraph"/>
        <w:numPr>
          <w:ilvl w:val="0"/>
          <w:numId w:val="19"/>
        </w:numPr>
        <w:autoSpaceDE w:val="0"/>
        <w:autoSpaceDN w:val="0"/>
        <w:adjustRightInd w:val="0"/>
        <w:spacing w:before="240" w:after="240"/>
        <w:rPr>
          <w:szCs w:val="22"/>
        </w:rPr>
      </w:pPr>
      <w:r>
        <w:t>Alongside positive contributions, actual and potential</w:t>
      </w:r>
      <w:r w:rsidR="00166AA9">
        <w:t xml:space="preserve"> direct</w:t>
      </w:r>
      <w:r>
        <w:t xml:space="preserve"> adverse impacts need to be identified, prevented and mitigated</w:t>
      </w:r>
      <w:r w:rsidRPr="005D62CB">
        <w:t xml:space="preserve"> </w:t>
      </w:r>
      <w:r w:rsidRPr="003D4652">
        <w:t>across the full lifecycle of the project (including decommissioning, abandonment or rehabilitatio</w:t>
      </w:r>
      <w:r w:rsidR="009F5D4F">
        <w:t xml:space="preserve">n of the site). </w:t>
      </w:r>
      <w:r w:rsidR="008A09A4">
        <w:t>S</w:t>
      </w:r>
      <w:r w:rsidRPr="00003577">
        <w:t xml:space="preserve">ocial </w:t>
      </w:r>
      <w:r>
        <w:t>and environmental impacts of extractive</w:t>
      </w:r>
      <w:r w:rsidRPr="00003577">
        <w:t xml:space="preserve"> project</w:t>
      </w:r>
      <w:r>
        <w:t>s</w:t>
      </w:r>
      <w:r w:rsidRPr="00003577">
        <w:t xml:space="preserve"> </w:t>
      </w:r>
      <w:r w:rsidR="00166AA9">
        <w:t>may be related to</w:t>
      </w:r>
      <w:r w:rsidRPr="00003577">
        <w:t xml:space="preserve">: land use and rights; water use; displacement and resettlement of local communities and the </w:t>
      </w:r>
      <w:r w:rsidR="0078550C">
        <w:t xml:space="preserve">specific </w:t>
      </w:r>
      <w:r w:rsidRPr="00003577">
        <w:t>rights</w:t>
      </w:r>
      <w:r>
        <w:t xml:space="preserve"> </w:t>
      </w:r>
      <w:r w:rsidR="0078550C">
        <w:t xml:space="preserve"> of </w:t>
      </w:r>
      <w:r w:rsidR="00DC319B">
        <w:t xml:space="preserve">indigenous peoples </w:t>
      </w:r>
      <w:r w:rsidRPr="00003577">
        <w:t xml:space="preserve">; </w:t>
      </w:r>
      <w:r>
        <w:t>management and implementation of security</w:t>
      </w:r>
      <w:r w:rsidRPr="00003577">
        <w:t xml:space="preserve">; disaster management; health </w:t>
      </w:r>
      <w:r w:rsidR="00695EA0">
        <w:t xml:space="preserve">and safety </w:t>
      </w:r>
      <w:r w:rsidRPr="00003577">
        <w:t>risks that can arise from extractive projects; use of labour</w:t>
      </w:r>
      <w:r>
        <w:t xml:space="preserve"> force</w:t>
      </w:r>
      <w:r w:rsidRPr="00003577">
        <w:t>;</w:t>
      </w:r>
      <w:r w:rsidRPr="00DD2B3C">
        <w:t xml:space="preserve"> </w:t>
      </w:r>
      <w:r>
        <w:t>environmental degradation;</w:t>
      </w:r>
      <w:r w:rsidRPr="00003577">
        <w:t xml:space="preserve"> closure/decommissioning. </w:t>
      </w:r>
      <w:r>
        <w:t>Host governments, in their permitting and regulatory capacity, have the primary responsibility to ensure that</w:t>
      </w:r>
      <w:r w:rsidRPr="003D4652">
        <w:t xml:space="preserve"> potential environmental</w:t>
      </w:r>
      <w:r w:rsidR="008A09A4">
        <w:t xml:space="preserve"> and</w:t>
      </w:r>
      <w:r w:rsidRPr="003D4652">
        <w:t xml:space="preserve"> social impacts are </w:t>
      </w:r>
      <w:r>
        <w:t>identified and appropriately addressed. National laws and regulations often</w:t>
      </w:r>
      <w:r w:rsidRPr="00AB520D">
        <w:t xml:space="preserve"> prescribe that </w:t>
      </w:r>
      <w:r>
        <w:t xml:space="preserve">social and environmental </w:t>
      </w:r>
      <w:r w:rsidRPr="001A1651">
        <w:t xml:space="preserve">impact assessments </w:t>
      </w:r>
      <w:r>
        <w:t xml:space="preserve">are carried out </w:t>
      </w:r>
      <w:r w:rsidRPr="00AB520D">
        <w:t>either by enterprises or by the government</w:t>
      </w:r>
      <w:r>
        <w:t xml:space="preserve"> and that they are conducted in a specific manner</w:t>
      </w:r>
      <w:r w:rsidRPr="00AB520D">
        <w:t xml:space="preserve">. </w:t>
      </w:r>
      <w:r>
        <w:t>The risks and impacts identification should take account of the outcome of early engagement with affected communities as appropriate, based on disclosure of relevant environmental and social information</w:t>
      </w:r>
      <w:r>
        <w:rPr>
          <w:rStyle w:val="EndnoteReference"/>
        </w:rPr>
        <w:endnoteReference w:id="13"/>
      </w:r>
      <w:r>
        <w:t xml:space="preserve"> and community </w:t>
      </w:r>
      <w:r w:rsidRPr="00906F7F">
        <w:t xml:space="preserve">participatory involvement in the formulation of environmental management plans and social impact </w:t>
      </w:r>
      <w:r w:rsidR="00DE5DB9">
        <w:t xml:space="preserve">management </w:t>
      </w:r>
      <w:r w:rsidRPr="00906F7F">
        <w:t>plans</w:t>
      </w:r>
      <w:r>
        <w:rPr>
          <w:rStyle w:val="EndnoteReference"/>
        </w:rPr>
        <w:endnoteReference w:id="14"/>
      </w:r>
      <w:r>
        <w:t xml:space="preserve">, with due regard to the prioritisation of </w:t>
      </w:r>
      <w:r w:rsidR="00F1184B">
        <w:t xml:space="preserve">those </w:t>
      </w:r>
      <w:r>
        <w:t xml:space="preserve">most severely impacted </w:t>
      </w:r>
      <w:r w:rsidRPr="00AB520D">
        <w:t>(e.g.</w:t>
      </w:r>
      <w:r>
        <w:t xml:space="preserve"> </w:t>
      </w:r>
      <w:r w:rsidRPr="00AB520D">
        <w:t>indigenous peoples</w:t>
      </w:r>
      <w:r>
        <w:t>, wome</w:t>
      </w:r>
      <w:r w:rsidRPr="00AB520D">
        <w:t xml:space="preserve">n, </w:t>
      </w:r>
      <w:r>
        <w:t>and children</w:t>
      </w:r>
      <w:r w:rsidRPr="00AB520D">
        <w:t>)</w:t>
      </w:r>
      <w:r>
        <w:t>.</w:t>
      </w:r>
      <w:r>
        <w:rPr>
          <w:rStyle w:val="EndnoteReference"/>
        </w:rPr>
        <w:endnoteReference w:id="15"/>
      </w:r>
      <w:r>
        <w:t xml:space="preserve"> Sharing critical information </w:t>
      </w:r>
      <w:r w:rsidRPr="004B10AC">
        <w:t xml:space="preserve">about the potential risks of the </w:t>
      </w:r>
      <w:r>
        <w:t>project and engaging</w:t>
      </w:r>
      <w:r w:rsidRPr="004B10AC">
        <w:t xml:space="preserve"> with the community to understand and addres</w:t>
      </w:r>
      <w:r>
        <w:t>s their concerns to find appropriate solutions is essential to build a trustful relationship and ensure the social licence to operate for both governments and investors</w:t>
      </w:r>
      <w:r w:rsidRPr="004B10AC">
        <w:t>.</w:t>
      </w:r>
      <w:r>
        <w:t xml:space="preserve"> </w:t>
      </w:r>
      <w:r w:rsidR="00DE5DB9">
        <w:t xml:space="preserve">Sufficient </w:t>
      </w:r>
      <w:r w:rsidR="00DE5DB9">
        <w:lastRenderedPageBreak/>
        <w:t>time</w:t>
      </w:r>
      <w:r w:rsidR="007519C1">
        <w:t xml:space="preserve"> and resources</w:t>
      </w:r>
      <w:r w:rsidR="00DE5DB9">
        <w:t xml:space="preserve"> </w:t>
      </w:r>
      <w:r w:rsidR="00612F4F">
        <w:t xml:space="preserve">need to </w:t>
      </w:r>
      <w:r w:rsidR="00DE5DB9">
        <w:t xml:space="preserve">be allocated for </w:t>
      </w:r>
      <w:r w:rsidR="007519C1">
        <w:t xml:space="preserve">an effective </w:t>
      </w:r>
      <w:r w:rsidR="00DE5DB9">
        <w:t>process of community engagement, which should be designed and implemented in accordance with good practice principles of stakeholder engagement</w:t>
      </w:r>
      <w:r w:rsidR="00DE5DB9">
        <w:rPr>
          <w:rStyle w:val="EndnoteReference"/>
        </w:rPr>
        <w:endnoteReference w:id="16"/>
      </w:r>
      <w:r w:rsidR="00DE5DB9">
        <w:t>.</w:t>
      </w:r>
      <w:r w:rsidR="00F1184B">
        <w:t xml:space="preserve"> </w:t>
      </w:r>
      <w:r>
        <w:t>Beyond compliance with domestic laws and regulations, host governments and investors can agree to incorporate into the</w:t>
      </w:r>
      <w:r w:rsidR="00695EA0">
        <w:t xml:space="preserve"> extractive</w:t>
      </w:r>
      <w:r>
        <w:t xml:space="preserve"> contract</w:t>
      </w:r>
      <w:r w:rsidR="00166AA9">
        <w:t xml:space="preserve"> </w:t>
      </w:r>
      <w:r w:rsidR="0078550C">
        <w:t xml:space="preserve">requirements </w:t>
      </w:r>
      <w:r w:rsidR="00166AA9">
        <w:t xml:space="preserve">consistent with international </w:t>
      </w:r>
      <w:r w:rsidR="0078550C">
        <w:t xml:space="preserve">standards or </w:t>
      </w:r>
      <w:r w:rsidR="00166AA9">
        <w:t xml:space="preserve">good practice </w:t>
      </w:r>
      <w:r w:rsidR="00C53E8B">
        <w:t>employed in the international industry under similar circumstances</w:t>
      </w:r>
      <w:r>
        <w:t xml:space="preserve"> </w:t>
      </w:r>
      <w:r w:rsidRPr="007D623C">
        <w:t xml:space="preserve">to </w:t>
      </w:r>
      <w:r w:rsidRPr="00DD2B3C">
        <w:t>facilitate the prevention, mitigation and remedy of adverse impact throughout the project’s life cycle</w:t>
      </w:r>
      <w:r>
        <w:rPr>
          <w:rStyle w:val="EndnoteReference"/>
        </w:rPr>
        <w:endnoteReference w:id="17"/>
      </w:r>
      <w:r w:rsidRPr="00DD2B3C">
        <w:t xml:space="preserve">. </w:t>
      </w:r>
      <w:r w:rsidR="00C53E8B">
        <w:t xml:space="preserve">Requirements </w:t>
      </w:r>
      <w:r>
        <w:t>that are appropriate to the local context can help to: 1) fill any gaps in domestic laws, policies or capacity to monitor compliance</w:t>
      </w:r>
      <w:r>
        <w:rPr>
          <w:rStyle w:val="EndnoteReference"/>
        </w:rPr>
        <w:endnoteReference w:id="18"/>
      </w:r>
      <w:r>
        <w:t xml:space="preserve">; 2) create common expectations and benchmarks on aspects that are not adequately covered by domestic requirements; 3) clarify the roles and responsibilities of the parties to the contract. To the extent not covered by national laws, </w:t>
      </w:r>
      <w:r w:rsidRPr="00623989">
        <w:t xml:space="preserve">the </w:t>
      </w:r>
      <w:r w:rsidR="00695EA0">
        <w:t xml:space="preserve">extractive </w:t>
      </w:r>
      <w:r w:rsidRPr="00623989">
        <w:t xml:space="preserve">contract </w:t>
      </w:r>
      <w:r>
        <w:t>“</w:t>
      </w:r>
      <w:r w:rsidRPr="00623989">
        <w:t xml:space="preserve">should delineate responsibility for: (a) periodically assessing actual and potential adverse </w:t>
      </w:r>
      <w:r w:rsidR="0078550C">
        <w:t>[…]</w:t>
      </w:r>
      <w:r w:rsidR="00F1184B">
        <w:t xml:space="preserve"> </w:t>
      </w:r>
      <w:r w:rsidRPr="00623989">
        <w:t xml:space="preserve">impact; (b) devising and carrying out a prevention and mitigation plan for potential </w:t>
      </w:r>
      <w:r>
        <w:t xml:space="preserve">negative </w:t>
      </w:r>
      <w:r w:rsidRPr="00623989">
        <w:t>impact</w:t>
      </w:r>
      <w:r w:rsidR="00C53E8B">
        <w:t>”</w:t>
      </w:r>
      <w:r w:rsidR="00C53E8B" w:rsidRPr="00C53E8B">
        <w:rPr>
          <w:rStyle w:val="EndnoteReference"/>
        </w:rPr>
        <w:t xml:space="preserve"> </w:t>
      </w:r>
      <w:r w:rsidR="00C53E8B">
        <w:rPr>
          <w:rStyle w:val="EndnoteReference"/>
        </w:rPr>
        <w:endnoteReference w:id="19"/>
      </w:r>
      <w:r w:rsidRPr="00623989">
        <w:t xml:space="preserve">; and (c) ensuring </w:t>
      </w:r>
      <w:r w:rsidR="0091791A">
        <w:t xml:space="preserve">appropriate transparent </w:t>
      </w:r>
      <w:r w:rsidR="00C53E8B">
        <w:t xml:space="preserve">financial arrangements </w:t>
      </w:r>
      <w:r w:rsidR="0091791A">
        <w:t xml:space="preserve">are in place to guarantee </w:t>
      </w:r>
      <w:r w:rsidR="00C53E8B">
        <w:t xml:space="preserve">that adequate resources are available to </w:t>
      </w:r>
      <w:r w:rsidR="007519C1">
        <w:t xml:space="preserve">ensure the execution of </w:t>
      </w:r>
      <w:r w:rsidR="00C53E8B">
        <w:t>prevention</w:t>
      </w:r>
      <w:r w:rsidR="0091791A">
        <w:t xml:space="preserve">, </w:t>
      </w:r>
      <w:r w:rsidR="00C53E8B">
        <w:t xml:space="preserve">mitigation plans </w:t>
      </w:r>
      <w:r w:rsidR="0091791A">
        <w:t xml:space="preserve">and </w:t>
      </w:r>
      <w:r w:rsidR="00F1184B">
        <w:t xml:space="preserve">remediation </w:t>
      </w:r>
      <w:r w:rsidR="0091791A">
        <w:t xml:space="preserve">responses </w:t>
      </w:r>
      <w:r w:rsidR="00C53E8B">
        <w:t>(e.g. use of escrow accounts, special funds for decommissioning)</w:t>
      </w:r>
      <w:r w:rsidRPr="00623989">
        <w:t>.</w:t>
      </w:r>
      <w:r>
        <w:t xml:space="preserve"> </w:t>
      </w:r>
    </w:p>
    <w:p w:rsidR="008475A4" w:rsidRPr="005B13CF" w:rsidRDefault="008475A4" w:rsidP="00953A30">
      <w:pPr>
        <w:pStyle w:val="ListParagraph"/>
        <w:numPr>
          <w:ilvl w:val="0"/>
          <w:numId w:val="19"/>
        </w:numPr>
        <w:autoSpaceDE w:val="0"/>
        <w:autoSpaceDN w:val="0"/>
        <w:adjustRightInd w:val="0"/>
        <w:spacing w:before="240" w:after="240"/>
        <w:rPr>
          <w:szCs w:val="22"/>
        </w:rPr>
      </w:pPr>
      <w:r>
        <w:t>In particular, to the extent not covered by domestic laws, contractual provisions may be needed for the parties to agree on a set of social and environmental baseline</w:t>
      </w:r>
      <w:r w:rsidR="00C53E8B">
        <w:t xml:space="preserve"> studies</w:t>
      </w:r>
      <w:r>
        <w:t xml:space="preserve"> (prepared by the government, the investor or a third party) approved by the government before operations begin </w:t>
      </w:r>
      <w:r w:rsidRPr="00571838">
        <w:t>against which implementation and compliance can later be measured</w:t>
      </w:r>
      <w:r>
        <w:t xml:space="preserve">, </w:t>
      </w:r>
      <w:r w:rsidR="005E2362">
        <w:t xml:space="preserve">also to inform the development of </w:t>
      </w:r>
      <w:r>
        <w:t xml:space="preserve">requirements for continual improvement and remediation for any harm caused </w:t>
      </w:r>
      <w:r w:rsidRPr="005B13CF">
        <w:rPr>
          <w:szCs w:val="22"/>
        </w:rPr>
        <w:t xml:space="preserve">by the activities. </w:t>
      </w:r>
    </w:p>
    <w:p w:rsidR="008475A4" w:rsidRDefault="008475A4" w:rsidP="00953A30">
      <w:pPr>
        <w:pStyle w:val="Heading1"/>
        <w:numPr>
          <w:ilvl w:val="0"/>
          <w:numId w:val="0"/>
        </w:numPr>
        <w:spacing w:before="240" w:after="240"/>
        <w:jc w:val="both"/>
        <w:rPr>
          <w:color w:val="auto"/>
          <w:sz w:val="22"/>
          <w:szCs w:val="22"/>
        </w:rPr>
      </w:pPr>
      <w:bookmarkStart w:id="11" w:name="_Toc483918893"/>
      <w:r w:rsidRPr="005B13CF">
        <w:rPr>
          <w:color w:val="auto"/>
          <w:sz w:val="22"/>
          <w:szCs w:val="22"/>
        </w:rPr>
        <w:t>Commentary on Guiding Principle V</w:t>
      </w:r>
      <w:bookmarkEnd w:id="11"/>
      <w:r w:rsidRPr="005B13CF">
        <w:rPr>
          <w:color w:val="auto"/>
          <w:sz w:val="22"/>
          <w:szCs w:val="22"/>
        </w:rPr>
        <w:t xml:space="preserve"> </w:t>
      </w:r>
    </w:p>
    <w:p w:rsidR="00695EA0" w:rsidRPr="00695EA0" w:rsidRDefault="002E356C" w:rsidP="00695EA0">
      <w:pPr>
        <w:pStyle w:val="BlockText"/>
        <w:spacing w:after="240"/>
        <w:ind w:left="0" w:right="85"/>
        <w:rPr>
          <w:b/>
        </w:rPr>
      </w:pPr>
      <w:r w:rsidRPr="002E356C">
        <w:rPr>
          <w:b/>
        </w:rPr>
        <w:t xml:space="preserve">Durable extractive contracts are negotiated and based on continuing sharing of key financial and technical data to build a common understanding of the </w:t>
      </w:r>
      <w:r w:rsidR="00D75846">
        <w:rPr>
          <w:b/>
        </w:rPr>
        <w:t xml:space="preserve">performance </w:t>
      </w:r>
      <w:r w:rsidRPr="002E356C">
        <w:rPr>
          <w:b/>
        </w:rPr>
        <w:t>and of the main risks and opportunities of the project throughout its life-cycle.</w:t>
      </w:r>
      <w:r>
        <w:t xml:space="preserve"> </w:t>
      </w:r>
    </w:p>
    <w:p w:rsidR="005811F2" w:rsidRDefault="008475A4" w:rsidP="00953A30">
      <w:pPr>
        <w:pStyle w:val="ListParagraph"/>
        <w:numPr>
          <w:ilvl w:val="0"/>
          <w:numId w:val="19"/>
        </w:numPr>
        <w:autoSpaceDE w:val="0"/>
        <w:autoSpaceDN w:val="0"/>
        <w:adjustRightInd w:val="0"/>
        <w:spacing w:before="240" w:after="240"/>
        <w:ind w:left="714" w:hanging="357"/>
      </w:pPr>
      <w:r w:rsidRPr="003944B1">
        <w:t>A</w:t>
      </w:r>
      <w:r w:rsidR="005E2362">
        <w:t xml:space="preserve">bsence or </w:t>
      </w:r>
      <w:r w:rsidR="00D75846">
        <w:t xml:space="preserve">limited </w:t>
      </w:r>
      <w:r w:rsidR="005E2362">
        <w:t>a</w:t>
      </w:r>
      <w:r w:rsidRPr="003944B1">
        <w:t xml:space="preserve">vailability of information </w:t>
      </w:r>
      <w:r>
        <w:t xml:space="preserve">on the value of the resources (quantity, quality, price, </w:t>
      </w:r>
      <w:r w:rsidR="00F1184B">
        <w:t xml:space="preserve">and </w:t>
      </w:r>
      <w:r>
        <w:t xml:space="preserve">costs) </w:t>
      </w:r>
      <w:r w:rsidR="00D75846">
        <w:t xml:space="preserve">affects </w:t>
      </w:r>
      <w:r w:rsidR="00343315">
        <w:t xml:space="preserve">the ability to determine </w:t>
      </w:r>
      <w:r>
        <w:t xml:space="preserve">the resource rent and the </w:t>
      </w:r>
      <w:r w:rsidR="00343315">
        <w:t xml:space="preserve">size </w:t>
      </w:r>
      <w:r w:rsidRPr="003944B1">
        <w:t xml:space="preserve">of </w:t>
      </w:r>
      <w:r w:rsidR="00A837FD">
        <w:t xml:space="preserve">possible </w:t>
      </w:r>
      <w:r>
        <w:t xml:space="preserve">revenue </w:t>
      </w:r>
      <w:r w:rsidRPr="003944B1">
        <w:t xml:space="preserve">that may be </w:t>
      </w:r>
      <w:r>
        <w:t xml:space="preserve">generated by the project for both </w:t>
      </w:r>
      <w:r w:rsidRPr="003944B1">
        <w:t>host governments and investors.</w:t>
      </w:r>
      <w:r>
        <w:t xml:space="preserve"> It is recognised that during negotiations </w:t>
      </w:r>
      <w:r w:rsidRPr="008F2C30">
        <w:t xml:space="preserve">the </w:t>
      </w:r>
      <w:r w:rsidR="00A837FD">
        <w:t xml:space="preserve">final </w:t>
      </w:r>
      <w:r w:rsidRPr="008F2C30">
        <w:t>financial outcome is not k</w:t>
      </w:r>
      <w:r>
        <w:t>nown by any party, because there</w:t>
      </w:r>
      <w:r w:rsidRPr="008F2C30">
        <w:t xml:space="preserve"> is both risk and uncertainty </w:t>
      </w:r>
      <w:r>
        <w:t xml:space="preserve">on the </w:t>
      </w:r>
      <w:r w:rsidR="00A837FD">
        <w:t xml:space="preserve">presence, </w:t>
      </w:r>
      <w:r w:rsidRPr="004E22A2">
        <w:t>size</w:t>
      </w:r>
      <w:r>
        <w:t xml:space="preserve"> and quality</w:t>
      </w:r>
      <w:r w:rsidRPr="004E22A2">
        <w:t xml:space="preserve"> of the resources, </w:t>
      </w:r>
      <w:r>
        <w:t xml:space="preserve">as well as their potential production levels, extraction </w:t>
      </w:r>
      <w:r w:rsidRPr="004E22A2">
        <w:t>and</w:t>
      </w:r>
      <w:r>
        <w:t xml:space="preserve"> development</w:t>
      </w:r>
      <w:r w:rsidRPr="004E22A2">
        <w:t xml:space="preserve"> costs, and future </w:t>
      </w:r>
      <w:r>
        <w:t xml:space="preserve">market </w:t>
      </w:r>
      <w:r w:rsidRPr="004E22A2">
        <w:t>prices</w:t>
      </w:r>
      <w:r>
        <w:t xml:space="preserve">. However, at the pre-negotiation stage there </w:t>
      </w:r>
      <w:r w:rsidR="00A837FD">
        <w:t xml:space="preserve">may be </w:t>
      </w:r>
      <w:r w:rsidR="002E07C7">
        <w:t xml:space="preserve">qualified estimated of </w:t>
      </w:r>
      <w:r w:rsidR="00A837FD">
        <w:t>possible outcomes</w:t>
      </w:r>
      <w:r>
        <w:t xml:space="preserve">. </w:t>
      </w:r>
    </w:p>
    <w:p w:rsidR="005811F2" w:rsidRDefault="008475A4" w:rsidP="00953A30">
      <w:pPr>
        <w:pStyle w:val="ListParagraph"/>
        <w:numPr>
          <w:ilvl w:val="0"/>
          <w:numId w:val="19"/>
        </w:numPr>
        <w:autoSpaceDE w:val="0"/>
        <w:autoSpaceDN w:val="0"/>
        <w:adjustRightInd w:val="0"/>
        <w:spacing w:before="240" w:after="240"/>
        <w:ind w:left="714" w:hanging="357"/>
      </w:pPr>
      <w:r>
        <w:t xml:space="preserve">Investors will have better information on the value of the intangibles they have developed (e.g. intellectual property </w:t>
      </w:r>
      <w:r w:rsidRPr="00E474ED">
        <w:t xml:space="preserve">related to new ways </w:t>
      </w:r>
      <w:r>
        <w:t>or the design o</w:t>
      </w:r>
      <w:r w:rsidRPr="00E474ED">
        <w:t xml:space="preserve">f </w:t>
      </w:r>
      <w:r w:rsidR="00E17F92" w:rsidRPr="00E474ED">
        <w:t>new</w:t>
      </w:r>
      <w:r w:rsidRPr="00E474ED">
        <w:t xml:space="preserve"> machinery</w:t>
      </w:r>
      <w:r w:rsidR="005811F2">
        <w:t xml:space="preserve"> extraction or otherwise bringing the resources to market</w:t>
      </w:r>
      <w:r w:rsidRPr="00E474ED">
        <w:t>)</w:t>
      </w:r>
      <w:r>
        <w:t xml:space="preserve">. Host governments </w:t>
      </w:r>
      <w:r w:rsidR="00A837FD">
        <w:t xml:space="preserve">may </w:t>
      </w:r>
      <w:r>
        <w:t xml:space="preserve">rely on the investor’s </w:t>
      </w:r>
      <w:r w:rsidR="00A837FD">
        <w:t xml:space="preserve">estimates </w:t>
      </w:r>
      <w:r>
        <w:t xml:space="preserve">with the assumption that they will provide objective information at the exploration, development and extraction stage. However, financial and feasibility studies carried out by investors to assess the viability of the investment do not contain </w:t>
      </w:r>
      <w:r w:rsidR="00A837FD">
        <w:t xml:space="preserve">definitive </w:t>
      </w:r>
      <w:r>
        <w:t xml:space="preserve">data, but rather qualified estimates </w:t>
      </w:r>
      <w:r w:rsidRPr="001F5B79">
        <w:t>about geological contingencies, input costs, the volume and quality of the resources to be developed, and cost of compliance with</w:t>
      </w:r>
      <w:r w:rsidR="00A837FD">
        <w:t xml:space="preserve"> local requirements</w:t>
      </w:r>
      <w:r w:rsidRPr="001F5B79">
        <w:t>.</w:t>
      </w:r>
      <w:r>
        <w:t xml:space="preserve"> </w:t>
      </w:r>
    </w:p>
    <w:p w:rsidR="008475A4" w:rsidRPr="005B13CF" w:rsidRDefault="008475A4" w:rsidP="00953A30">
      <w:pPr>
        <w:pStyle w:val="ListParagraph"/>
        <w:numPr>
          <w:ilvl w:val="0"/>
          <w:numId w:val="19"/>
        </w:numPr>
        <w:autoSpaceDE w:val="0"/>
        <w:autoSpaceDN w:val="0"/>
        <w:adjustRightInd w:val="0"/>
        <w:spacing w:before="240" w:after="240"/>
        <w:ind w:left="714" w:hanging="357"/>
      </w:pPr>
      <w:r w:rsidRPr="001F5B79">
        <w:t xml:space="preserve">Given the uncertainty surrounding the true value of the resources until they are found, produced and sold, these </w:t>
      </w:r>
      <w:r>
        <w:t xml:space="preserve">datasets are </w:t>
      </w:r>
      <w:r w:rsidRPr="001F5B79">
        <w:t xml:space="preserve">projections </w:t>
      </w:r>
      <w:r>
        <w:t xml:space="preserve">that </w:t>
      </w:r>
      <w:r w:rsidRPr="001F5B79">
        <w:t>remain subject to multiple vagaries that are liable to affect the financial balance of the contract with potentially significant implications for the distribution of the economic benefits and/or costs originally envisaged.</w:t>
      </w:r>
      <w:r w:rsidRPr="00D83787">
        <w:t xml:space="preserve"> </w:t>
      </w:r>
      <w:r>
        <w:t xml:space="preserve">In these circumstances and </w:t>
      </w:r>
      <w:r>
        <w:lastRenderedPageBreak/>
        <w:t xml:space="preserve">in order to best serve their interests (e.g. </w:t>
      </w:r>
      <w:r w:rsidR="002E07C7">
        <w:t xml:space="preserve">manage </w:t>
      </w:r>
      <w:r w:rsidRPr="00D83787">
        <w:t>their tax liability</w:t>
      </w:r>
      <w:r>
        <w:t>)</w:t>
      </w:r>
      <w:proofErr w:type="gramStart"/>
      <w:r>
        <w:t>,</w:t>
      </w:r>
      <w:proofErr w:type="gramEnd"/>
      <w:r>
        <w:t xml:space="preserve"> i</w:t>
      </w:r>
      <w:r w:rsidRPr="00D83787">
        <w:t xml:space="preserve">nvestors may </w:t>
      </w:r>
      <w:r>
        <w:t xml:space="preserve">not share information on their best estimates. </w:t>
      </w:r>
    </w:p>
    <w:p w:rsidR="008475A4" w:rsidRPr="00953A30" w:rsidRDefault="008475A4" w:rsidP="00953A30">
      <w:pPr>
        <w:pStyle w:val="ListParagraph"/>
        <w:numPr>
          <w:ilvl w:val="0"/>
          <w:numId w:val="19"/>
        </w:numPr>
        <w:autoSpaceDE w:val="0"/>
        <w:autoSpaceDN w:val="0"/>
        <w:adjustRightInd w:val="0"/>
        <w:spacing w:before="240" w:after="240"/>
        <w:ind w:left="714" w:hanging="357"/>
        <w:rPr>
          <w:rFonts w:ascii="Times" w:eastAsia="MS Mincho" w:hAnsi="Times"/>
        </w:rPr>
      </w:pPr>
      <w:r w:rsidRPr="00E93780">
        <w:t>In oil and gas, many contracts are signed following a tender process where investors place bids in accorda</w:t>
      </w:r>
      <w:r>
        <w:t>nce with bidding criteria set out in legislation or regulation. The</w:t>
      </w:r>
      <w:r w:rsidRPr="00E93780">
        <w:t>s</w:t>
      </w:r>
      <w:r>
        <w:t>e</w:t>
      </w:r>
      <w:r w:rsidRPr="00E93780">
        <w:t xml:space="preserve"> criteria can set out the required information that needs to be made available to the gover</w:t>
      </w:r>
      <w:r>
        <w:t xml:space="preserve">nment. Well-designed </w:t>
      </w:r>
      <w:r w:rsidRPr="00E474ED">
        <w:t>auctions induce competitive bidding.</w:t>
      </w:r>
      <w:r>
        <w:t xml:space="preserve"> </w:t>
      </w:r>
      <w:r w:rsidRPr="00E93780">
        <w:t>In mining, bid rounds are much less common and consequently, there are less established mechanisms to share information up front.</w:t>
      </w:r>
    </w:p>
    <w:p w:rsidR="008475A4" w:rsidRDefault="008475A4" w:rsidP="00953A30">
      <w:pPr>
        <w:pStyle w:val="PlainText"/>
        <w:numPr>
          <w:ilvl w:val="0"/>
          <w:numId w:val="19"/>
        </w:numPr>
        <w:spacing w:before="240" w:after="240"/>
        <w:rPr>
          <w:rFonts w:ascii="Times New Roman" w:hAnsi="Times New Roman" w:cs="Times New Roman"/>
          <w:szCs w:val="22"/>
        </w:rPr>
      </w:pPr>
      <w:r w:rsidRPr="001D09D8">
        <w:rPr>
          <w:rFonts w:ascii="Times New Roman" w:hAnsi="Times New Roman" w:cs="Times New Roman"/>
          <w:szCs w:val="22"/>
        </w:rPr>
        <w:t xml:space="preserve">For this reason, host governments </w:t>
      </w:r>
      <w:r w:rsidR="005811F2">
        <w:rPr>
          <w:rFonts w:ascii="Times New Roman" w:hAnsi="Times New Roman" w:cs="Times New Roman"/>
          <w:szCs w:val="22"/>
        </w:rPr>
        <w:t xml:space="preserve">may wish </w:t>
      </w:r>
      <w:r w:rsidRPr="001D09D8">
        <w:rPr>
          <w:rFonts w:ascii="Times New Roman" w:hAnsi="Times New Roman" w:cs="Times New Roman"/>
          <w:szCs w:val="22"/>
        </w:rPr>
        <w:t xml:space="preserve">to undertake their own independent valuations and develop their own financial models </w:t>
      </w:r>
      <w:r>
        <w:rPr>
          <w:rFonts w:ascii="Times New Roman" w:hAnsi="Times New Roman" w:cs="Times New Roman"/>
          <w:szCs w:val="22"/>
        </w:rPr>
        <w:t xml:space="preserve">to </w:t>
      </w:r>
      <w:r w:rsidRPr="001D09D8">
        <w:rPr>
          <w:rFonts w:ascii="Times New Roman" w:hAnsi="Times New Roman" w:cs="Times New Roman"/>
          <w:szCs w:val="22"/>
        </w:rPr>
        <w:t xml:space="preserve">identify multiple scenarios </w:t>
      </w:r>
      <w:r>
        <w:rPr>
          <w:rFonts w:ascii="Times New Roman" w:hAnsi="Times New Roman" w:cs="Times New Roman"/>
          <w:szCs w:val="22"/>
        </w:rPr>
        <w:t xml:space="preserve">and possible outcomes </w:t>
      </w:r>
      <w:r w:rsidRPr="001D09D8">
        <w:rPr>
          <w:rFonts w:ascii="Times New Roman" w:hAnsi="Times New Roman" w:cs="Times New Roman"/>
          <w:szCs w:val="22"/>
        </w:rPr>
        <w:t xml:space="preserve">under different </w:t>
      </w:r>
      <w:r>
        <w:rPr>
          <w:rFonts w:ascii="Times New Roman" w:hAnsi="Times New Roman" w:cs="Times New Roman"/>
          <w:szCs w:val="22"/>
        </w:rPr>
        <w:t>circumstances (</w:t>
      </w:r>
      <w:r w:rsidRPr="001D09D8">
        <w:rPr>
          <w:rFonts w:ascii="Times New Roman" w:hAnsi="Times New Roman" w:cs="Times New Roman"/>
          <w:szCs w:val="22"/>
        </w:rPr>
        <w:t>fluctuations of commodity prices,</w:t>
      </w:r>
      <w:r>
        <w:rPr>
          <w:rFonts w:ascii="Times New Roman" w:hAnsi="Times New Roman" w:cs="Times New Roman"/>
          <w:szCs w:val="22"/>
        </w:rPr>
        <w:t xml:space="preserve"> quality, costs, etc.)</w:t>
      </w:r>
      <w:r w:rsidRPr="001D09D8">
        <w:rPr>
          <w:rFonts w:ascii="Times New Roman" w:hAnsi="Times New Roman" w:cs="Times New Roman"/>
          <w:szCs w:val="22"/>
        </w:rPr>
        <w:t xml:space="preserve">. </w:t>
      </w:r>
    </w:p>
    <w:p w:rsidR="008475A4" w:rsidRPr="00C5051C" w:rsidRDefault="008475A4" w:rsidP="00C5051C">
      <w:pPr>
        <w:pStyle w:val="PlainText"/>
        <w:numPr>
          <w:ilvl w:val="0"/>
          <w:numId w:val="19"/>
        </w:numPr>
        <w:spacing w:before="240" w:after="240"/>
        <w:rPr>
          <w:rFonts w:ascii="Times New Roman" w:hAnsi="Times New Roman" w:cs="Times New Roman"/>
          <w:szCs w:val="22"/>
        </w:rPr>
      </w:pPr>
      <w:r>
        <w:rPr>
          <w:rFonts w:ascii="Times New Roman" w:hAnsi="Times New Roman" w:cs="Times New Roman"/>
          <w:szCs w:val="22"/>
        </w:rPr>
        <w:t xml:space="preserve">Sharing of </w:t>
      </w:r>
      <w:r w:rsidRPr="004E22A2">
        <w:rPr>
          <w:rFonts w:ascii="Times New Roman" w:hAnsi="Times New Roman" w:cs="Times New Roman"/>
          <w:szCs w:val="22"/>
        </w:rPr>
        <w:t xml:space="preserve">information </w:t>
      </w:r>
      <w:r>
        <w:rPr>
          <w:rFonts w:ascii="Times New Roman" w:hAnsi="Times New Roman" w:cs="Times New Roman"/>
          <w:szCs w:val="22"/>
        </w:rPr>
        <w:t xml:space="preserve">between host governments and investors on qualified estimates </w:t>
      </w:r>
      <w:r w:rsidRPr="004E22A2">
        <w:rPr>
          <w:rFonts w:ascii="Times New Roman" w:hAnsi="Times New Roman" w:cs="Times New Roman"/>
          <w:szCs w:val="22"/>
        </w:rPr>
        <w:t>of the resources, development scenarios and pro</w:t>
      </w:r>
      <w:r>
        <w:rPr>
          <w:rFonts w:ascii="Times New Roman" w:hAnsi="Times New Roman" w:cs="Times New Roman"/>
          <w:szCs w:val="22"/>
        </w:rPr>
        <w:t xml:space="preserve">duction profiles is critical to build a shared understanding around </w:t>
      </w:r>
      <w:r w:rsidRPr="004E22A2">
        <w:rPr>
          <w:rFonts w:ascii="Times New Roman" w:hAnsi="Times New Roman" w:cs="Times New Roman"/>
          <w:szCs w:val="22"/>
        </w:rPr>
        <w:t xml:space="preserve">the </w:t>
      </w:r>
      <w:r>
        <w:rPr>
          <w:rFonts w:ascii="Times New Roman" w:hAnsi="Times New Roman" w:cs="Times New Roman"/>
          <w:szCs w:val="22"/>
        </w:rPr>
        <w:t xml:space="preserve">assumptions for defining the </w:t>
      </w:r>
      <w:r w:rsidRPr="004E22A2">
        <w:rPr>
          <w:rFonts w:ascii="Times New Roman" w:hAnsi="Times New Roman" w:cs="Times New Roman"/>
          <w:szCs w:val="22"/>
        </w:rPr>
        <w:t xml:space="preserve">economic equilibrium of the contract </w:t>
      </w:r>
      <w:r>
        <w:rPr>
          <w:rFonts w:ascii="Times New Roman" w:hAnsi="Times New Roman" w:cs="Times New Roman"/>
          <w:szCs w:val="22"/>
        </w:rPr>
        <w:t>as well as in the design of the</w:t>
      </w:r>
      <w:r w:rsidRPr="004E22A2">
        <w:rPr>
          <w:rFonts w:ascii="Times New Roman" w:hAnsi="Times New Roman" w:cs="Times New Roman"/>
          <w:szCs w:val="22"/>
        </w:rPr>
        <w:t xml:space="preserve"> revenue allocation mechanism to sustain the viability of the project throughout its lifecycle</w:t>
      </w:r>
      <w:r>
        <w:rPr>
          <w:rFonts w:ascii="Times New Roman" w:hAnsi="Times New Roman" w:cs="Times New Roman"/>
          <w:szCs w:val="22"/>
        </w:rPr>
        <w:t xml:space="preserve"> (see also Principle VIII and related commentary)</w:t>
      </w:r>
      <w:r w:rsidRPr="004E22A2">
        <w:rPr>
          <w:rFonts w:ascii="Times New Roman" w:hAnsi="Times New Roman" w:cs="Times New Roman"/>
          <w:szCs w:val="22"/>
        </w:rPr>
        <w:t xml:space="preserve">. </w:t>
      </w:r>
      <w:r>
        <w:rPr>
          <w:rFonts w:ascii="Times New Roman" w:hAnsi="Times New Roman" w:cs="Times New Roman"/>
          <w:szCs w:val="22"/>
        </w:rPr>
        <w:t xml:space="preserve">The information provided by investors should be </w:t>
      </w:r>
      <w:r w:rsidR="0091791A">
        <w:rPr>
          <w:rFonts w:ascii="Times New Roman" w:hAnsi="Times New Roman" w:cs="Times New Roman"/>
          <w:szCs w:val="22"/>
        </w:rPr>
        <w:t xml:space="preserve">at least </w:t>
      </w:r>
      <w:r w:rsidRPr="004E22A2">
        <w:rPr>
          <w:rFonts w:ascii="Times New Roman" w:hAnsi="Times New Roman" w:cs="Times New Roman"/>
          <w:szCs w:val="22"/>
        </w:rPr>
        <w:t xml:space="preserve">of a similar frequency, detail, quality </w:t>
      </w:r>
      <w:r w:rsidRPr="00D83787">
        <w:rPr>
          <w:rFonts w:ascii="Times New Roman" w:hAnsi="Times New Roman" w:cs="Times New Roman"/>
          <w:szCs w:val="22"/>
        </w:rPr>
        <w:t>to the information that is made availabl</w:t>
      </w:r>
      <w:r>
        <w:rPr>
          <w:rFonts w:ascii="Times New Roman" w:hAnsi="Times New Roman" w:cs="Times New Roman"/>
          <w:szCs w:val="22"/>
        </w:rPr>
        <w:t>e to</w:t>
      </w:r>
      <w:r w:rsidR="002017D4">
        <w:rPr>
          <w:rFonts w:ascii="Times New Roman" w:hAnsi="Times New Roman" w:cs="Times New Roman"/>
          <w:szCs w:val="22"/>
        </w:rPr>
        <w:t xml:space="preserve"> financial lenders</w:t>
      </w:r>
      <w:r>
        <w:rPr>
          <w:rFonts w:ascii="Times New Roman" w:hAnsi="Times New Roman" w:cs="Times New Roman"/>
          <w:szCs w:val="22"/>
        </w:rPr>
        <w:t>.</w:t>
      </w:r>
      <w:r w:rsidRPr="00D83787">
        <w:rPr>
          <w:rFonts w:ascii="Times New Roman" w:hAnsi="Times New Roman" w:cs="Times New Roman"/>
          <w:szCs w:val="22"/>
        </w:rPr>
        <w:t xml:space="preserve"> </w:t>
      </w:r>
      <w:r w:rsidRPr="00055057">
        <w:rPr>
          <w:rFonts w:ascii="Times New Roman" w:hAnsi="Times New Roman" w:cs="Times New Roman"/>
          <w:szCs w:val="22"/>
        </w:rPr>
        <w:t xml:space="preserve">Working from the same assumptions and economic and financial models will help build trust between the parties, foster alignment of interests, </w:t>
      </w:r>
      <w:r w:rsidR="002E07C7">
        <w:rPr>
          <w:rFonts w:ascii="Times New Roman" w:hAnsi="Times New Roman" w:cs="Times New Roman"/>
          <w:szCs w:val="22"/>
        </w:rPr>
        <w:t xml:space="preserve">and </w:t>
      </w:r>
      <w:r w:rsidRPr="00055057">
        <w:rPr>
          <w:rFonts w:ascii="Times New Roman" w:hAnsi="Times New Roman" w:cs="Times New Roman"/>
          <w:szCs w:val="22"/>
        </w:rPr>
        <w:t>build a true long-term partnership. In line with Principle IV, the adoption of a holistic and integrated approach</w:t>
      </w:r>
      <w:r>
        <w:rPr>
          <w:rFonts w:ascii="Times New Roman" w:hAnsi="Times New Roman" w:cs="Times New Roman"/>
          <w:szCs w:val="22"/>
        </w:rPr>
        <w:t xml:space="preserve"> is recommended</w:t>
      </w:r>
      <w:r w:rsidRPr="00055057">
        <w:rPr>
          <w:rFonts w:ascii="Times New Roman" w:hAnsi="Times New Roman" w:cs="Times New Roman"/>
          <w:szCs w:val="22"/>
        </w:rPr>
        <w:t xml:space="preserve"> to </w:t>
      </w:r>
      <w:r w:rsidR="008F68D6">
        <w:rPr>
          <w:rFonts w:ascii="Times New Roman" w:hAnsi="Times New Roman" w:cs="Times New Roman"/>
          <w:szCs w:val="22"/>
        </w:rPr>
        <w:t xml:space="preserve">capture not only </w:t>
      </w:r>
      <w:r w:rsidR="00D219E8">
        <w:rPr>
          <w:rFonts w:ascii="Times New Roman" w:hAnsi="Times New Roman" w:cs="Times New Roman"/>
          <w:szCs w:val="22"/>
        </w:rPr>
        <w:t xml:space="preserve">financial and </w:t>
      </w:r>
      <w:r w:rsidRPr="00055057">
        <w:rPr>
          <w:rFonts w:ascii="Times New Roman" w:hAnsi="Times New Roman" w:cs="Times New Roman"/>
          <w:szCs w:val="22"/>
        </w:rPr>
        <w:t>economic</w:t>
      </w:r>
      <w:r w:rsidR="00D219E8">
        <w:rPr>
          <w:rFonts w:ascii="Times New Roman" w:hAnsi="Times New Roman" w:cs="Times New Roman"/>
          <w:szCs w:val="22"/>
        </w:rPr>
        <w:t xml:space="preserve"> aspects</w:t>
      </w:r>
      <w:r w:rsidR="008F68D6">
        <w:rPr>
          <w:rFonts w:ascii="Times New Roman" w:hAnsi="Times New Roman" w:cs="Times New Roman"/>
          <w:szCs w:val="22"/>
        </w:rPr>
        <w:t xml:space="preserve">, </w:t>
      </w:r>
      <w:r w:rsidR="00AB6853">
        <w:rPr>
          <w:rFonts w:ascii="Times New Roman" w:hAnsi="Times New Roman" w:cs="Times New Roman"/>
          <w:szCs w:val="22"/>
        </w:rPr>
        <w:t>but also performance on safety,</w:t>
      </w:r>
      <w:r w:rsidRPr="00055057">
        <w:rPr>
          <w:rFonts w:ascii="Times New Roman" w:hAnsi="Times New Roman" w:cs="Times New Roman"/>
          <w:szCs w:val="22"/>
        </w:rPr>
        <w:t xml:space="preserve"> environmental, social and community issues.</w:t>
      </w:r>
    </w:p>
    <w:p w:rsidR="008475A4" w:rsidRDefault="008475A4" w:rsidP="00C5051C">
      <w:pPr>
        <w:pStyle w:val="Heading1"/>
        <w:numPr>
          <w:ilvl w:val="0"/>
          <w:numId w:val="0"/>
        </w:numPr>
        <w:spacing w:before="240" w:after="240"/>
        <w:jc w:val="both"/>
        <w:rPr>
          <w:color w:val="auto"/>
          <w:sz w:val="22"/>
        </w:rPr>
      </w:pPr>
      <w:bookmarkStart w:id="12" w:name="_Toc483918894"/>
      <w:r w:rsidRPr="00C5051C">
        <w:rPr>
          <w:color w:val="auto"/>
          <w:sz w:val="22"/>
        </w:rPr>
        <w:t>Commentary on Guiding Principle VI</w:t>
      </w:r>
      <w:bookmarkEnd w:id="12"/>
      <w:r w:rsidRPr="00C5051C">
        <w:rPr>
          <w:color w:val="auto"/>
          <w:sz w:val="22"/>
        </w:rPr>
        <w:t xml:space="preserve"> </w:t>
      </w:r>
    </w:p>
    <w:p w:rsidR="005811F2" w:rsidRPr="005811F2" w:rsidRDefault="005811F2" w:rsidP="005811F2">
      <w:pPr>
        <w:pStyle w:val="BlockText"/>
        <w:tabs>
          <w:tab w:val="left" w:pos="1985"/>
        </w:tabs>
        <w:spacing w:after="240"/>
        <w:ind w:left="0" w:right="85"/>
        <w:rPr>
          <w:b/>
        </w:rPr>
      </w:pPr>
      <w:r w:rsidRPr="005811F2">
        <w:rPr>
          <w:b/>
        </w:rPr>
        <w:t xml:space="preserve">Durable extractive contracts operate in a sound investment and business climate and should be underpinned by a fair, transparent and clear legal and regulatory framework. </w:t>
      </w:r>
    </w:p>
    <w:p w:rsidR="005811F2" w:rsidRPr="003B3346" w:rsidRDefault="008475A4" w:rsidP="006022A9">
      <w:pPr>
        <w:pStyle w:val="ListParagraph"/>
        <w:numPr>
          <w:ilvl w:val="0"/>
          <w:numId w:val="19"/>
        </w:numPr>
        <w:autoSpaceDE w:val="0"/>
        <w:autoSpaceDN w:val="0"/>
        <w:adjustRightInd w:val="0"/>
        <w:spacing w:before="240" w:after="240"/>
        <w:rPr>
          <w:rFonts w:ascii="Arial" w:hAnsi="Arial" w:cs="Arial"/>
          <w:sz w:val="19"/>
          <w:szCs w:val="19"/>
        </w:rPr>
      </w:pPr>
      <w:r>
        <w:t xml:space="preserve">A sound investment and business climate is critical </w:t>
      </w:r>
      <w:r w:rsidRPr="00164C81">
        <w:t xml:space="preserve">for </w:t>
      </w:r>
      <w:r>
        <w:t>successful investment in the extractive industry</w:t>
      </w:r>
      <w:r w:rsidRPr="00164C81">
        <w:t xml:space="preserve">. </w:t>
      </w:r>
      <w:r>
        <w:t>T</w:t>
      </w:r>
      <w:r w:rsidRPr="00164C81">
        <w:t xml:space="preserve">he development of mineral, oil and gas resources </w:t>
      </w:r>
      <w:r>
        <w:t>requires heavy</w:t>
      </w:r>
      <w:r w:rsidR="005811F2">
        <w:t xml:space="preserve"> upfront</w:t>
      </w:r>
      <w:r>
        <w:t xml:space="preserve"> investments </w:t>
      </w:r>
      <w:r w:rsidR="005811F2">
        <w:t xml:space="preserve">before </w:t>
      </w:r>
      <w:r>
        <w:t xml:space="preserve">production and is characterised by </w:t>
      </w:r>
      <w:r w:rsidR="002017D4">
        <w:t xml:space="preserve">long lead times, high </w:t>
      </w:r>
      <w:r>
        <w:t xml:space="preserve">risk and uncertainty (see commentary to Principle III). </w:t>
      </w:r>
      <w:r w:rsidR="008F68D6">
        <w:t xml:space="preserve">The extractive sector is characterised by long payback periods where initial investments are recouped after many years of production. Securing a fair rate of return commensurate with the risk borne by the investor occurs over a long time horizon whilst being subject to volatility in prevailing market conditions. </w:t>
      </w:r>
    </w:p>
    <w:p w:rsidR="005811F2" w:rsidRPr="003B3346" w:rsidRDefault="008475A4" w:rsidP="006022A9">
      <w:pPr>
        <w:pStyle w:val="ListParagraph"/>
        <w:numPr>
          <w:ilvl w:val="0"/>
          <w:numId w:val="19"/>
        </w:numPr>
        <w:autoSpaceDE w:val="0"/>
        <w:autoSpaceDN w:val="0"/>
        <w:adjustRightInd w:val="0"/>
        <w:spacing w:before="240" w:after="240"/>
        <w:rPr>
          <w:rFonts w:ascii="Arial" w:hAnsi="Arial" w:cs="Arial"/>
          <w:sz w:val="19"/>
          <w:szCs w:val="19"/>
        </w:rPr>
      </w:pPr>
      <w:r>
        <w:t>When eval</w:t>
      </w:r>
      <w:r w:rsidR="00D219E8">
        <w:t>uating the investment potential</w:t>
      </w:r>
      <w:r>
        <w:t xml:space="preserve"> </w:t>
      </w:r>
      <w:r w:rsidR="002017D4">
        <w:t xml:space="preserve">in </w:t>
      </w:r>
      <w:r>
        <w:t>a host country, investors will consider whether a</w:t>
      </w:r>
      <w:r w:rsidRPr="002C7CEC">
        <w:t xml:space="preserve"> solid legal framework is</w:t>
      </w:r>
      <w:r>
        <w:t xml:space="preserve"> in place</w:t>
      </w:r>
      <w:r w:rsidRPr="002C7CEC">
        <w:t>, which allows investors to ascertain obligations (fiscal, environmental, social and others)</w:t>
      </w:r>
      <w:r>
        <w:t xml:space="preserve"> that affect </w:t>
      </w:r>
      <w:r w:rsidRPr="002C7CEC">
        <w:t xml:space="preserve">the ability to determine </w:t>
      </w:r>
      <w:r>
        <w:t xml:space="preserve">the </w:t>
      </w:r>
      <w:r w:rsidRPr="002C7CEC">
        <w:t>project</w:t>
      </w:r>
      <w:r>
        <w:t xml:space="preserve">’s </w:t>
      </w:r>
      <w:r w:rsidR="002017D4">
        <w:t xml:space="preserve">possible </w:t>
      </w:r>
      <w:r>
        <w:t>economic</w:t>
      </w:r>
      <w:r w:rsidR="004D3B41">
        <w:t xml:space="preserve"> </w:t>
      </w:r>
      <w:r w:rsidR="002017D4">
        <w:t>outcome</w:t>
      </w:r>
      <w:r w:rsidRPr="002C7CEC">
        <w:t xml:space="preserve">. </w:t>
      </w:r>
      <w:r w:rsidR="001C5EB1">
        <w:t xml:space="preserve">Transparency of the legal framework provides an important safeguard for foreign investors and should help ensure effective use of the resources for public benefit. </w:t>
      </w:r>
      <w:r w:rsidR="002E07C7">
        <w:t>L</w:t>
      </w:r>
      <w:r w:rsidR="001C5EB1">
        <w:t>aws</w:t>
      </w:r>
      <w:r w:rsidR="00AB6853">
        <w:t>,</w:t>
      </w:r>
      <w:r w:rsidR="001C5EB1">
        <w:t xml:space="preserve"> regulations </w:t>
      </w:r>
      <w:r w:rsidR="002E07C7">
        <w:t xml:space="preserve">or contracts may include provisions that give </w:t>
      </w:r>
      <w:r w:rsidR="001C5EB1">
        <w:t>accounting and reporting procedures to provide reliable information to the public on resource reven</w:t>
      </w:r>
      <w:r w:rsidR="003B3346">
        <w:t>ue receipts</w:t>
      </w:r>
      <w:r w:rsidR="002E07C7">
        <w:t xml:space="preserve"> and </w:t>
      </w:r>
      <w:r w:rsidR="005811F2">
        <w:t>spending and</w:t>
      </w:r>
      <w:r w:rsidR="003B3346">
        <w:t xml:space="preserve"> require the </w:t>
      </w:r>
      <w:r w:rsidR="001C5EB1">
        <w:t xml:space="preserve">publication of signed contracts. </w:t>
      </w:r>
    </w:p>
    <w:p w:rsidR="003B3346" w:rsidRPr="004D3B41" w:rsidRDefault="008475A4" w:rsidP="006022A9">
      <w:pPr>
        <w:pStyle w:val="ListParagraph"/>
        <w:numPr>
          <w:ilvl w:val="0"/>
          <w:numId w:val="19"/>
        </w:numPr>
        <w:autoSpaceDE w:val="0"/>
        <w:autoSpaceDN w:val="0"/>
        <w:adjustRightInd w:val="0"/>
        <w:spacing w:before="240" w:after="240"/>
        <w:rPr>
          <w:rFonts w:ascii="Arial" w:hAnsi="Arial" w:cs="Arial"/>
          <w:sz w:val="19"/>
          <w:szCs w:val="19"/>
        </w:rPr>
      </w:pPr>
      <w:r>
        <w:t>Governments can help reduce both uncertainty and risk</w:t>
      </w:r>
      <w:r w:rsidRPr="002C7CEC">
        <w:t xml:space="preserve"> </w:t>
      </w:r>
      <w:r>
        <w:t xml:space="preserve">by </w:t>
      </w:r>
      <w:r w:rsidR="003B3346">
        <w:t xml:space="preserve">having institutions that </w:t>
      </w:r>
      <w:r>
        <w:t xml:space="preserve">uphold the rule of law, </w:t>
      </w:r>
      <w:r w:rsidR="003B3346">
        <w:t xml:space="preserve">with </w:t>
      </w:r>
      <w:r>
        <w:t xml:space="preserve">transparency and integrity, </w:t>
      </w:r>
      <w:r w:rsidR="003B3346">
        <w:t xml:space="preserve">and by </w:t>
      </w:r>
      <w:r>
        <w:t xml:space="preserve">providing </w:t>
      </w:r>
      <w:r w:rsidRPr="001151B7">
        <w:t>fair, transparent</w:t>
      </w:r>
      <w:r>
        <w:t xml:space="preserve"> and</w:t>
      </w:r>
      <w:r w:rsidRPr="001151B7">
        <w:t xml:space="preserve"> clear</w:t>
      </w:r>
      <w:r>
        <w:t xml:space="preserve"> regulations, </w:t>
      </w:r>
      <w:r w:rsidR="003B3346">
        <w:t xml:space="preserve">without unnecessarily high </w:t>
      </w:r>
      <w:r>
        <w:t xml:space="preserve">costs of compliance. As recognised by the </w:t>
      </w:r>
      <w:r w:rsidRPr="006022A9">
        <w:rPr>
          <w:i/>
        </w:rPr>
        <w:t>OECD Policy Framework for Investment</w:t>
      </w:r>
      <w:r w:rsidRPr="0076183A">
        <w:rPr>
          <w:rFonts w:ascii="Caecilia-Roman" w:hAnsi="Caecilia-Roman" w:cs="Caecilia-Roman"/>
          <w:sz w:val="18"/>
          <w:szCs w:val="18"/>
        </w:rPr>
        <w:t>, “</w:t>
      </w:r>
      <w:r w:rsidRPr="008B38A3">
        <w:t xml:space="preserve">well-crafted regulations can improve the investment climate by creating an </w:t>
      </w:r>
      <w:r w:rsidRPr="008B38A3">
        <w:lastRenderedPageBreak/>
        <w:t>efficient framework and ensuring high standards of rule of law. Good regulation does not necessarily mean less regulation. Rather, it suggests that administrative burdens should be streamlined where necessary and that the objectives of regulations should be transparent and their effectiveness regularly monitored and evaluated</w:t>
      </w:r>
      <w:r>
        <w:t>”</w:t>
      </w:r>
      <w:r>
        <w:rPr>
          <w:rStyle w:val="EndnoteReference"/>
        </w:rPr>
        <w:endnoteReference w:id="20"/>
      </w:r>
      <w:r w:rsidRPr="008B38A3">
        <w:t>.</w:t>
      </w:r>
      <w:r w:rsidRPr="006022A9">
        <w:rPr>
          <w:rFonts w:ascii="Caecilia-Roman" w:hAnsi="Caecilia-Roman" w:cs="Caecilia-Roman"/>
          <w:sz w:val="18"/>
          <w:szCs w:val="18"/>
        </w:rPr>
        <w:t xml:space="preserve"> </w:t>
      </w:r>
    </w:p>
    <w:p w:rsidR="003B3346" w:rsidRPr="004D3B41" w:rsidRDefault="008475A4" w:rsidP="006022A9">
      <w:pPr>
        <w:pStyle w:val="ListParagraph"/>
        <w:numPr>
          <w:ilvl w:val="0"/>
          <w:numId w:val="19"/>
        </w:numPr>
        <w:autoSpaceDE w:val="0"/>
        <w:autoSpaceDN w:val="0"/>
        <w:adjustRightInd w:val="0"/>
        <w:spacing w:before="240" w:after="240"/>
        <w:rPr>
          <w:rFonts w:ascii="Arial" w:hAnsi="Arial" w:cs="Arial"/>
          <w:sz w:val="19"/>
          <w:szCs w:val="19"/>
        </w:rPr>
      </w:pPr>
      <w:r>
        <w:t xml:space="preserve">Governments need to provide assurance on contract enforcement and property rights, and the fairness, </w:t>
      </w:r>
      <w:r w:rsidR="006E116B">
        <w:t xml:space="preserve">predictability, </w:t>
      </w:r>
      <w:r>
        <w:t>impartiality and efficiency of the</w:t>
      </w:r>
      <w:r w:rsidR="002017D4">
        <w:t xml:space="preserve"> dispute resolution process</w:t>
      </w:r>
      <w:r>
        <w:t>, so that investors have confidence that their investment will not be unfairly</w:t>
      </w:r>
      <w:r w:rsidR="002017D4">
        <w:t xml:space="preserve"> taken or impaired</w:t>
      </w:r>
      <w:r>
        <w:t>.</w:t>
      </w:r>
      <w:r w:rsidRPr="007629D7">
        <w:t xml:space="preserve"> </w:t>
      </w:r>
      <w:r w:rsidRPr="007629D7">
        <w:rPr>
          <w:vertAlign w:val="superscript"/>
        </w:rPr>
        <w:endnoteReference w:id="21"/>
      </w:r>
      <w:r>
        <w:t xml:space="preserve"> Red tape, bureaucratic burdens and excessive complexity and other constraints such as those identified </w:t>
      </w:r>
      <w:r w:rsidRPr="007629D7">
        <w:t>in the World Bank’s re</w:t>
      </w:r>
      <w:r>
        <w:t>ports on ease of doing business raise business costs and can also lead to corruption. A</w:t>
      </w:r>
      <w:r w:rsidRPr="00934862">
        <w:t xml:space="preserve">dministration transparency, </w:t>
      </w:r>
      <w:r>
        <w:t xml:space="preserve">integrity, </w:t>
      </w:r>
      <w:r w:rsidRPr="00934862">
        <w:t xml:space="preserve">coherence and consistency </w:t>
      </w:r>
      <w:r>
        <w:t xml:space="preserve">are critical </w:t>
      </w:r>
      <w:r w:rsidRPr="00934862">
        <w:t>to attract quality investment</w:t>
      </w:r>
      <w:r>
        <w:t xml:space="preserve"> and ensure the continuity of extractive projects. </w:t>
      </w:r>
    </w:p>
    <w:p w:rsidR="008475A4" w:rsidRPr="006022A9" w:rsidRDefault="008475A4" w:rsidP="006022A9">
      <w:pPr>
        <w:pStyle w:val="ListParagraph"/>
        <w:numPr>
          <w:ilvl w:val="0"/>
          <w:numId w:val="19"/>
        </w:numPr>
        <w:autoSpaceDE w:val="0"/>
        <w:autoSpaceDN w:val="0"/>
        <w:adjustRightInd w:val="0"/>
        <w:spacing w:before="240" w:after="240"/>
        <w:rPr>
          <w:rFonts w:ascii="Arial" w:hAnsi="Arial" w:cs="Arial"/>
          <w:sz w:val="19"/>
          <w:szCs w:val="19"/>
        </w:rPr>
      </w:pPr>
      <w:r>
        <w:t xml:space="preserve">Strengthening the </w:t>
      </w:r>
      <w:r w:rsidRPr="00934862">
        <w:t>security of tenure</w:t>
      </w:r>
      <w:r>
        <w:t xml:space="preserve"> (</w:t>
      </w:r>
      <w:r w:rsidR="002017D4">
        <w:t xml:space="preserve">including </w:t>
      </w:r>
      <w:r>
        <w:t>on the conditions and process for land acquisition and requirements for land use fees, compensation and resettlement)</w:t>
      </w:r>
      <w:r w:rsidRPr="007629D7">
        <w:rPr>
          <w:vertAlign w:val="superscript"/>
        </w:rPr>
        <w:endnoteReference w:id="22"/>
      </w:r>
      <w:r w:rsidRPr="00934862">
        <w:t xml:space="preserve">, </w:t>
      </w:r>
      <w:r>
        <w:t xml:space="preserve">ensuring </w:t>
      </w:r>
      <w:r w:rsidRPr="00934862">
        <w:t>clarity of administrative procedures</w:t>
      </w:r>
      <w:r>
        <w:t xml:space="preserve"> (applying objective criteria in making decisions on whether or not to grant applications and reducing the time for ob</w:t>
      </w:r>
      <w:r w:rsidRPr="004C191A">
        <w:t>taining all necessary clearances, licenses, permits and certificates</w:t>
      </w:r>
      <w:r>
        <w:t xml:space="preserve">), and </w:t>
      </w:r>
      <w:r w:rsidR="002017D4">
        <w:t xml:space="preserve">effectively coordinating activities </w:t>
      </w:r>
      <w:r>
        <w:t>among different ministr</w:t>
      </w:r>
      <w:r w:rsidRPr="00934862">
        <w:t>ies and agencies</w:t>
      </w:r>
      <w:r>
        <w:t xml:space="preserve"> as well as between the central and local governments </w:t>
      </w:r>
      <w:r w:rsidR="00824283">
        <w:t xml:space="preserve">promote </w:t>
      </w:r>
      <w:r w:rsidRPr="002C7CEC">
        <w:t>investment</w:t>
      </w:r>
      <w:r>
        <w:t>. I</w:t>
      </w:r>
      <w:r w:rsidRPr="00164C81">
        <w:t xml:space="preserve">nvestors are </w:t>
      </w:r>
      <w:r>
        <w:t xml:space="preserve">also </w:t>
      </w:r>
      <w:r w:rsidRPr="00164C81">
        <w:t xml:space="preserve">attracted by </w:t>
      </w:r>
      <w:r>
        <w:t xml:space="preserve">a strong investment climate which provides for </w:t>
      </w:r>
      <w:r w:rsidRPr="00164C81">
        <w:t>ope</w:t>
      </w:r>
      <w:r>
        <w:t>n trade policy, political and</w:t>
      </w:r>
      <w:r w:rsidRPr="00164C81">
        <w:t xml:space="preserve"> macroeconomic stability.</w:t>
      </w:r>
    </w:p>
    <w:p w:rsidR="008475A4" w:rsidRDefault="008475A4" w:rsidP="00C5051C">
      <w:pPr>
        <w:pStyle w:val="Heading1"/>
        <w:numPr>
          <w:ilvl w:val="0"/>
          <w:numId w:val="0"/>
        </w:numPr>
        <w:spacing w:before="240" w:after="240"/>
        <w:jc w:val="both"/>
        <w:rPr>
          <w:color w:val="auto"/>
          <w:sz w:val="22"/>
          <w:szCs w:val="22"/>
        </w:rPr>
      </w:pPr>
      <w:bookmarkStart w:id="13" w:name="_Toc483918895"/>
      <w:r w:rsidRPr="00953A30">
        <w:rPr>
          <w:color w:val="auto"/>
          <w:sz w:val="22"/>
          <w:szCs w:val="22"/>
        </w:rPr>
        <w:t>Commentary on Guiding Principle VII</w:t>
      </w:r>
      <w:bookmarkEnd w:id="13"/>
    </w:p>
    <w:p w:rsidR="003B3346" w:rsidRPr="003B3346" w:rsidRDefault="003B3346" w:rsidP="003B3346">
      <w:pPr>
        <w:pStyle w:val="BlockText"/>
        <w:tabs>
          <w:tab w:val="left" w:pos="1985"/>
        </w:tabs>
        <w:spacing w:after="240"/>
        <w:ind w:left="0" w:right="-57"/>
        <w:rPr>
          <w:b/>
        </w:rPr>
      </w:pPr>
      <w:r w:rsidRPr="003B3346">
        <w:rPr>
          <w:b/>
        </w:rPr>
        <w:t xml:space="preserve">Durable extractive contracts are consistent with applicable laws, and anticipate that host governments may introduce laws, regulations or policies that: (a) are not arbitrary; (b) reflect internationally recognised standards </w:t>
      </w:r>
      <w:r w:rsidR="002E356C">
        <w:rPr>
          <w:b/>
        </w:rPr>
        <w:t>and/</w:t>
      </w:r>
      <w:r w:rsidRPr="003B3346">
        <w:rPr>
          <w:b/>
        </w:rPr>
        <w:t xml:space="preserve">or good practices generally accepted from time to time in the industry; with due regard taken of the </w:t>
      </w:r>
      <w:r w:rsidR="004D3B41">
        <w:rPr>
          <w:b/>
        </w:rPr>
        <w:t xml:space="preserve">economic </w:t>
      </w:r>
      <w:r w:rsidRPr="003B3346">
        <w:rPr>
          <w:b/>
        </w:rPr>
        <w:t>consequences of any substantive adverse impact on the project.</w:t>
      </w:r>
    </w:p>
    <w:p w:rsidR="003B3346" w:rsidRPr="003B3346" w:rsidRDefault="003B3346" w:rsidP="003B3346">
      <w:pPr>
        <w:pStyle w:val="Para1"/>
        <w:ind w:left="0"/>
      </w:pPr>
    </w:p>
    <w:p w:rsidR="008475A4" w:rsidRDefault="008475A4" w:rsidP="00C5051C">
      <w:pPr>
        <w:pStyle w:val="ListParagraph"/>
        <w:numPr>
          <w:ilvl w:val="0"/>
          <w:numId w:val="19"/>
        </w:numPr>
        <w:autoSpaceDE w:val="0"/>
        <w:autoSpaceDN w:val="0"/>
        <w:adjustRightInd w:val="0"/>
        <w:spacing w:before="240" w:after="240"/>
      </w:pPr>
      <w:r w:rsidRPr="00B71C0F">
        <w:t>Con</w:t>
      </w:r>
      <w:r>
        <w:t xml:space="preserve">tracts need to be implemented and interpreted in accordance with applicable laws. Unilateral change in law is a political risk over which the investor does not have control. Investors take into account </w:t>
      </w:r>
      <w:r w:rsidR="003B3346">
        <w:t xml:space="preserve">this </w:t>
      </w:r>
      <w:r>
        <w:t xml:space="preserve">regulatory risk when deciding whether to invest: </w:t>
      </w:r>
      <w:r w:rsidRPr="00315FFF">
        <w:t>the higher the perceived risk, the higher the investor’s risk premium</w:t>
      </w:r>
      <w:r w:rsidR="00824283">
        <w:t xml:space="preserve"> or the less likely an investor</w:t>
      </w:r>
      <w:r w:rsidR="00F300D8">
        <w:t xml:space="preserve"> is</w:t>
      </w:r>
      <w:r w:rsidR="00824283">
        <w:t xml:space="preserve"> to invest</w:t>
      </w:r>
      <w:r w:rsidRPr="00315FFF">
        <w:t>, and the lower the assessed viability of the project</w:t>
      </w:r>
      <w:r>
        <w:t xml:space="preserve"> and its </w:t>
      </w:r>
      <w:r w:rsidR="00824283">
        <w:t xml:space="preserve">profit </w:t>
      </w:r>
      <w:r>
        <w:t>potential.</w:t>
      </w:r>
      <w:r w:rsidRPr="00315FFF">
        <w:t xml:space="preserve"> </w:t>
      </w:r>
      <w:r w:rsidR="006E2485">
        <w:t>T</w:t>
      </w:r>
      <w:r>
        <w:t xml:space="preserve">ransparency and </w:t>
      </w:r>
      <w:r w:rsidR="006E2485">
        <w:t xml:space="preserve">stakeholder </w:t>
      </w:r>
      <w:r>
        <w:t>consultations</w:t>
      </w:r>
      <w:r w:rsidR="006E2485">
        <w:t xml:space="preserve"> are best practice</w:t>
      </w:r>
      <w:r>
        <w:t xml:space="preserve"> when policy reforms are </w:t>
      </w:r>
      <w:r w:rsidR="006E2485">
        <w:t>considered.</w:t>
      </w:r>
    </w:p>
    <w:p w:rsidR="008475A4" w:rsidRPr="00BE3AA6" w:rsidRDefault="008475A4" w:rsidP="00C5051C">
      <w:pPr>
        <w:pStyle w:val="ListParagraph"/>
        <w:numPr>
          <w:ilvl w:val="0"/>
          <w:numId w:val="19"/>
        </w:numPr>
        <w:autoSpaceDE w:val="0"/>
        <w:autoSpaceDN w:val="0"/>
        <w:adjustRightInd w:val="0"/>
        <w:spacing w:before="240" w:after="240"/>
      </w:pPr>
      <w:r>
        <w:t xml:space="preserve">Where regulatory changes are </w:t>
      </w:r>
      <w:proofErr w:type="spellStart"/>
      <w:r w:rsidRPr="00DB2C8C">
        <w:rPr>
          <w:lang w:val="en-US"/>
        </w:rPr>
        <w:t>expropriative</w:t>
      </w:r>
      <w:proofErr w:type="spellEnd"/>
      <w:r>
        <w:t>, or are objectively arbitrary, compensation should be provided</w:t>
      </w:r>
      <w:r w:rsidR="004677C9">
        <w:t xml:space="preserve"> to the investor</w:t>
      </w:r>
      <w:r>
        <w:t xml:space="preserve">. </w:t>
      </w:r>
      <w:r w:rsidR="001F2E97">
        <w:t xml:space="preserve">Under </w:t>
      </w:r>
      <w:r>
        <w:t>customary international law foreign property may</w:t>
      </w:r>
      <w:r w:rsidR="00AB6853">
        <w:t xml:space="preserve"> not be expropriated except for</w:t>
      </w:r>
      <w:r>
        <w:t xml:space="preserve">: (i) a public purpose; (ii) a non-discriminatory basis; (iii) in accordance with due process of law; and </w:t>
      </w:r>
      <w:proofErr w:type="gramStart"/>
      <w:r>
        <w:t>(iv) against</w:t>
      </w:r>
      <w:proofErr w:type="gramEnd"/>
      <w:r>
        <w:t xml:space="preserve"> prompt, adequate and effective compensation</w:t>
      </w:r>
      <w:r w:rsidRPr="00691336">
        <w:t xml:space="preserve">. Whether or not a </w:t>
      </w:r>
      <w:r w:rsidR="001F2E97">
        <w:t xml:space="preserve">change in law </w:t>
      </w:r>
      <w:r w:rsidRPr="00691336">
        <w:t xml:space="preserve">amounts to </w:t>
      </w:r>
      <w:r w:rsidR="00954320">
        <w:t xml:space="preserve">a direct or indirect </w:t>
      </w:r>
      <w:r w:rsidRPr="00691336">
        <w:t>expropriation, giving rise to a right of compensation is a matter that needs to be determined on a case-by-case basis.</w:t>
      </w:r>
      <w:r w:rsidRPr="00691336">
        <w:rPr>
          <w:vertAlign w:val="superscript"/>
        </w:rPr>
        <w:endnoteReference w:id="23"/>
      </w:r>
      <w:r w:rsidRPr="00691336">
        <w:t xml:space="preserve"> </w:t>
      </w:r>
    </w:p>
    <w:p w:rsidR="008475A4" w:rsidRDefault="008475A4" w:rsidP="00F300D8">
      <w:pPr>
        <w:pStyle w:val="ListParagraph"/>
        <w:numPr>
          <w:ilvl w:val="0"/>
          <w:numId w:val="19"/>
        </w:numPr>
        <w:autoSpaceDE w:val="0"/>
        <w:autoSpaceDN w:val="0"/>
        <w:adjustRightInd w:val="0"/>
        <w:spacing w:before="240" w:after="240"/>
      </w:pPr>
      <w:r>
        <w:t>Durable contracts recognise that r</w:t>
      </w:r>
      <w:r w:rsidRPr="00521B6D">
        <w:t>egulatory regimes evolve over time, and so do the expectations and requirements that extractive projects must meet</w:t>
      </w:r>
      <w:r w:rsidR="007A172D">
        <w:t xml:space="preserve"> for the protection of public health, safety, security and the environment </w:t>
      </w:r>
      <w:r w:rsidR="003B3346">
        <w:t xml:space="preserve">consistent with internationally recognised standards </w:t>
      </w:r>
      <w:r w:rsidR="00D420BC">
        <w:t xml:space="preserve">or </w:t>
      </w:r>
      <w:r w:rsidR="007A172D">
        <w:t>good practices generally accepted form time to time in the industry in similar circumstances</w:t>
      </w:r>
      <w:r w:rsidR="00650899">
        <w:t>, and that are applied on a non-</w:t>
      </w:r>
      <w:r w:rsidR="00D12C90">
        <w:t>arbitrar</w:t>
      </w:r>
      <w:r w:rsidR="00650899">
        <w:t>y basis</w:t>
      </w:r>
      <w:r w:rsidR="000A4ECC">
        <w:rPr>
          <w:rStyle w:val="EndnoteReference"/>
        </w:rPr>
        <w:endnoteReference w:id="24"/>
      </w:r>
      <w:r>
        <w:t xml:space="preserve">. </w:t>
      </w:r>
      <w:r w:rsidR="00F300D8">
        <w:t xml:space="preserve">In line with the OECD Guidelines for Multinational </w:t>
      </w:r>
      <w:r w:rsidR="00F300D8">
        <w:lastRenderedPageBreak/>
        <w:t>Enterprises, investors “</w:t>
      </w:r>
      <w:r w:rsidR="00954320">
        <w:t xml:space="preserve">should </w:t>
      </w:r>
      <w:r w:rsidR="001B6A98">
        <w:t>r</w:t>
      </w:r>
      <w:r w:rsidR="00F300D8">
        <w:t>efrain from seeking or accepting exemptions not contemplated in the statutory or regulatory framework related to human rights, environmental, health, safety, labour, taxation, financial incentives, or other issues</w:t>
      </w:r>
      <w:r w:rsidR="001B6A98">
        <w:t>”</w:t>
      </w:r>
      <w:r w:rsidR="001B6A98">
        <w:rPr>
          <w:rStyle w:val="EndnoteReference"/>
        </w:rPr>
        <w:endnoteReference w:id="25"/>
      </w:r>
      <w:r w:rsidR="00F300D8">
        <w:t>.</w:t>
      </w:r>
      <w:r w:rsidRPr="00BE3AA6">
        <w:t xml:space="preserve"> </w:t>
      </w:r>
    </w:p>
    <w:p w:rsidR="008475A4" w:rsidRDefault="00D420BC" w:rsidP="00C5051C">
      <w:pPr>
        <w:pStyle w:val="ListParagraph"/>
        <w:numPr>
          <w:ilvl w:val="0"/>
          <w:numId w:val="19"/>
        </w:numPr>
        <w:autoSpaceDE w:val="0"/>
        <w:autoSpaceDN w:val="0"/>
        <w:adjustRightInd w:val="0"/>
        <w:spacing w:before="240" w:after="240"/>
      </w:pPr>
      <w:r>
        <w:t xml:space="preserve">Durable extractive contracts take into due consideration the </w:t>
      </w:r>
      <w:r w:rsidR="00C73C22">
        <w:t xml:space="preserve">economic </w:t>
      </w:r>
      <w:r>
        <w:t xml:space="preserve">consequences of changes in law as a result of which the investor incurs </w:t>
      </w:r>
      <w:r w:rsidR="00650899">
        <w:t xml:space="preserve">substantive </w:t>
      </w:r>
      <w:r>
        <w:t xml:space="preserve">additional costs and/or is unable to perform any of his </w:t>
      </w:r>
      <w:r w:rsidR="006E2485">
        <w:t xml:space="preserve">rights or </w:t>
      </w:r>
      <w:r>
        <w:t>obligations.</w:t>
      </w:r>
      <w:r w:rsidR="001B6A98">
        <w:t xml:space="preserve"> </w:t>
      </w:r>
      <w:r w:rsidR="00DE0145">
        <w:t>In such limited circumstances, t</w:t>
      </w:r>
      <w:r w:rsidR="008475A4">
        <w:t>he parties to the contract can integrate a number of mechanisms</w:t>
      </w:r>
      <w:r w:rsidR="004B51B9">
        <w:t xml:space="preserve"> --</w:t>
      </w:r>
      <w:r w:rsidR="00DE0145">
        <w:t xml:space="preserve"> other than stabilisation clauses </w:t>
      </w:r>
      <w:r w:rsidR="004B51B9">
        <w:t xml:space="preserve">-- </w:t>
      </w:r>
      <w:r w:rsidR="008475A4">
        <w:t xml:space="preserve">to manage the economic consequences of changes in the law. These </w:t>
      </w:r>
      <w:r w:rsidR="00C73C22">
        <w:t xml:space="preserve">may include </w:t>
      </w:r>
      <w:r w:rsidR="008475A4">
        <w:t>procedures to facilitate the efficient and effective resolution of issues as they arise and requirements for the parties to negotiate in good faith regarding mitigating any</w:t>
      </w:r>
      <w:r w:rsidR="00AB6853">
        <w:t xml:space="preserve"> </w:t>
      </w:r>
      <w:r w:rsidR="00C73C22">
        <w:t xml:space="preserve">substantive adverse </w:t>
      </w:r>
      <w:r w:rsidR="008475A4">
        <w:t>impact of changes in the law.</w:t>
      </w:r>
      <w:r w:rsidR="008475A4">
        <w:rPr>
          <w:rStyle w:val="EndnoteReference"/>
        </w:rPr>
        <w:endnoteReference w:id="26"/>
      </w:r>
      <w:r w:rsidR="008475A4">
        <w:t xml:space="preserve">  </w:t>
      </w:r>
    </w:p>
    <w:p w:rsidR="008475A4" w:rsidRDefault="00C5051C" w:rsidP="00C5051C">
      <w:pPr>
        <w:pStyle w:val="BlockText"/>
        <w:numPr>
          <w:ilvl w:val="0"/>
          <w:numId w:val="19"/>
        </w:numPr>
        <w:spacing w:before="240" w:after="240"/>
        <w:ind w:right="-28"/>
        <w:rPr>
          <w:rFonts w:ascii="TimesNewRomanPS-ItalicMT" w:hAnsi="TimesNewRomanPS-ItalicMT" w:cs="TimesNewRomanPS-ItalicMT"/>
          <w:iCs/>
        </w:rPr>
      </w:pPr>
      <w:r>
        <w:t>A chan</w:t>
      </w:r>
      <w:r w:rsidR="008475A4">
        <w:t xml:space="preserve">ge in law includes changes in the interpretation or application of applicable laws. </w:t>
      </w:r>
      <w:r w:rsidR="006E116B">
        <w:t>O</w:t>
      </w:r>
      <w:r w:rsidR="008475A4">
        <w:t>ne of the key challenges for host governments is to protect the revenue base</w:t>
      </w:r>
      <w:r w:rsidR="00D420BC">
        <w:t xml:space="preserve"> and administer</w:t>
      </w:r>
      <w:r w:rsidR="00FC0F20">
        <w:t xml:space="preserve"> effectively</w:t>
      </w:r>
      <w:r w:rsidR="00D420BC">
        <w:t xml:space="preserve"> </w:t>
      </w:r>
      <w:r w:rsidR="008475A4">
        <w:t>rules on abusive transfer pricing</w:t>
      </w:r>
      <w:r w:rsidR="008475A4">
        <w:rPr>
          <w:rStyle w:val="EndnoteReference"/>
        </w:rPr>
        <w:endnoteReference w:id="27"/>
      </w:r>
      <w:r w:rsidR="008475A4">
        <w:t>, thin capitalisation, and controlled foreign corporation rules</w:t>
      </w:r>
      <w:r w:rsidR="00FC0F20">
        <w:t>, consistent with internationally recognised tax standards</w:t>
      </w:r>
      <w:r w:rsidR="008475A4">
        <w:t xml:space="preserve">. </w:t>
      </w:r>
      <w:r w:rsidR="008475A4" w:rsidRPr="00C5051C">
        <w:rPr>
          <w:szCs w:val="22"/>
        </w:rPr>
        <w:t xml:space="preserve">For example, the </w:t>
      </w:r>
      <w:r w:rsidR="008475A4" w:rsidRPr="00315FFF">
        <w:rPr>
          <w:rFonts w:ascii="TimesNewRomanPS-ItalicMT" w:hAnsi="TimesNewRomanPS-ItalicMT" w:cs="TimesNewRomanPS-ItalicMT"/>
          <w:i/>
          <w:iCs/>
        </w:rPr>
        <w:t>OECD Transfer Pricing Guidelines for Multinational Enterprises and Tax Administrations</w:t>
      </w:r>
      <w:r w:rsidR="008475A4">
        <w:rPr>
          <w:rFonts w:ascii="TimesNewRomanPS-ItalicMT" w:hAnsi="TimesNewRomanPS-ItalicMT" w:cs="TimesNewRomanPS-ItalicMT"/>
          <w:iCs/>
        </w:rPr>
        <w:t xml:space="preserve"> provide methods for determining arm’s length prices. Furthermore, the </w:t>
      </w:r>
      <w:r w:rsidR="008475A4" w:rsidRPr="004F6E8B">
        <w:rPr>
          <w:rFonts w:ascii="TimesNewRomanPS-ItalicMT" w:hAnsi="TimesNewRomanPS-ItalicMT" w:cs="TimesNewRomanPS-ItalicMT"/>
          <w:i/>
          <w:iCs/>
        </w:rPr>
        <w:t>OECD Guidelines for Multinational Enterprises</w:t>
      </w:r>
      <w:r w:rsidR="008475A4">
        <w:rPr>
          <w:rFonts w:ascii="TimesNewRomanPS-ItalicMT" w:hAnsi="TimesNewRomanPS-ItalicMT" w:cs="TimesNewRomanPS-ItalicMT"/>
          <w:iCs/>
        </w:rPr>
        <w:t xml:space="preserve"> provide that enterprises </w:t>
      </w:r>
      <w:r w:rsidR="008475A4" w:rsidRPr="00BE3AA6">
        <w:rPr>
          <w:rFonts w:ascii="TimesNewRomanPS-ItalicMT" w:hAnsi="TimesNewRomanPS-ItalicMT" w:cs="TimesNewRomanPS-ItalicMT"/>
          <w:iCs/>
        </w:rPr>
        <w:t>should reasonably believe that the transaction is structured in a way that gives a tax result for the enterprise which is not contrary to the intentions of the legislature</w:t>
      </w:r>
      <w:r w:rsidR="008475A4">
        <w:rPr>
          <w:rFonts w:ascii="TimesNewRomanPS-ItalicMT" w:hAnsi="TimesNewRomanPS-ItalicMT" w:cs="TimesNewRomanPS-ItalicMT"/>
          <w:iCs/>
        </w:rPr>
        <w:t>.</w:t>
      </w:r>
    </w:p>
    <w:p w:rsidR="008475A4" w:rsidRPr="00C5051C" w:rsidRDefault="008475A4" w:rsidP="00C5051C">
      <w:pPr>
        <w:pStyle w:val="BlockText"/>
        <w:numPr>
          <w:ilvl w:val="0"/>
          <w:numId w:val="19"/>
        </w:numPr>
        <w:spacing w:before="240" w:after="240"/>
        <w:ind w:right="-28"/>
        <w:rPr>
          <w:szCs w:val="22"/>
        </w:rPr>
      </w:pPr>
      <w:r w:rsidRPr="00C5051C">
        <w:rPr>
          <w:szCs w:val="22"/>
        </w:rPr>
        <w:t>Mitigation of regulatory risk related to changes in fiscal laws to cope with fluctuations in market conditions (mainly prices) is addressed in Principle VIII and its commentary.</w:t>
      </w:r>
      <w:r w:rsidR="001B6A98">
        <w:rPr>
          <w:szCs w:val="22"/>
        </w:rPr>
        <w:t xml:space="preserve"> </w:t>
      </w:r>
    </w:p>
    <w:p w:rsidR="008475A4" w:rsidRDefault="008475A4" w:rsidP="00C5051C">
      <w:pPr>
        <w:pStyle w:val="Heading1"/>
        <w:numPr>
          <w:ilvl w:val="0"/>
          <w:numId w:val="0"/>
        </w:numPr>
        <w:spacing w:before="240" w:after="240"/>
        <w:jc w:val="both"/>
        <w:rPr>
          <w:color w:val="auto"/>
          <w:sz w:val="22"/>
          <w:szCs w:val="22"/>
        </w:rPr>
      </w:pPr>
      <w:bookmarkStart w:id="14" w:name="_Toc483918896"/>
      <w:r w:rsidRPr="00C5051C">
        <w:rPr>
          <w:color w:val="auto"/>
          <w:sz w:val="22"/>
          <w:szCs w:val="22"/>
        </w:rPr>
        <w:t>Commentary on Guiding Principle VIII</w:t>
      </w:r>
      <w:bookmarkEnd w:id="14"/>
    </w:p>
    <w:p w:rsidR="003B3346" w:rsidRPr="003B3346" w:rsidRDefault="003B3346" w:rsidP="003B3346">
      <w:pPr>
        <w:pStyle w:val="Para1"/>
        <w:ind w:left="0" w:right="85"/>
        <w:rPr>
          <w:b/>
        </w:rPr>
      </w:pPr>
      <w:r w:rsidRPr="003B3346">
        <w:rPr>
          <w:b/>
        </w:rPr>
        <w:t xml:space="preserve">Durable extractive contracts are underpinned by a fiscal system that provides </w:t>
      </w:r>
      <w:r w:rsidR="008615B2" w:rsidRPr="002E356C">
        <w:rPr>
          <w:b/>
        </w:rPr>
        <w:t xml:space="preserve">a fair sharing of economic rent between the investor and </w:t>
      </w:r>
      <w:r w:rsidR="00D75846">
        <w:rPr>
          <w:b/>
        </w:rPr>
        <w:t xml:space="preserve">the </w:t>
      </w:r>
      <w:r w:rsidR="008615B2" w:rsidRPr="002E356C">
        <w:rPr>
          <w:b/>
        </w:rPr>
        <w:t>host government, taking into consideration the risks and potential rewards. A regime with automatic adjustments for the government take to prevailing market conditions (variable with commodity price, production volume, resource quality, or project profitability) reduces the incentives for eit</w:t>
      </w:r>
      <w:r w:rsidR="00D75846">
        <w:rPr>
          <w:b/>
        </w:rPr>
        <w:t>her party to seek re-negotiation</w:t>
      </w:r>
      <w:r w:rsidR="008615B2" w:rsidRPr="002E356C">
        <w:rPr>
          <w:b/>
        </w:rPr>
        <w:t xml:space="preserve"> of terms. Depending on context specific conditions, due regard should be given to providing assurance of fiscal receipts to the host government for each year of commercial resource production</w:t>
      </w:r>
      <w:r w:rsidR="004B51B9">
        <w:rPr>
          <w:b/>
        </w:rPr>
        <w:t>.</w:t>
      </w:r>
      <w:r w:rsidRPr="003B3346">
        <w:rPr>
          <w:b/>
        </w:rPr>
        <w:t xml:space="preserve"> </w:t>
      </w:r>
      <w:r w:rsidRPr="003B3346">
        <w:rPr>
          <w:rFonts w:ascii="TimesNewRomanPSMT" w:hAnsi="TimesNewRomanPSMT" w:cs="TimesNewRomanPSMT"/>
          <w:b/>
          <w:sz w:val="20"/>
        </w:rPr>
        <w:t xml:space="preserve"> </w:t>
      </w:r>
    </w:p>
    <w:p w:rsidR="008615B2" w:rsidRDefault="007E6BDA" w:rsidP="00C5051C">
      <w:pPr>
        <w:pStyle w:val="ListParagraph"/>
        <w:numPr>
          <w:ilvl w:val="0"/>
          <w:numId w:val="19"/>
        </w:numPr>
        <w:autoSpaceDE w:val="0"/>
        <w:autoSpaceDN w:val="0"/>
        <w:adjustRightInd w:val="0"/>
        <w:spacing w:before="240" w:after="240"/>
      </w:pPr>
      <w:r w:rsidRPr="00F17A1B">
        <w:rPr>
          <w:color w:val="000000"/>
        </w:rPr>
        <w:t xml:space="preserve">Durable extractive contracts </w:t>
      </w:r>
      <w:r>
        <w:rPr>
          <w:color w:val="000000"/>
        </w:rPr>
        <w:t>are underpinned by a fiscal r</w:t>
      </w:r>
      <w:r w:rsidRPr="00F8440C">
        <w:rPr>
          <w:color w:val="000000"/>
        </w:rPr>
        <w:t>egime</w:t>
      </w:r>
      <w:r>
        <w:rPr>
          <w:color w:val="000000"/>
        </w:rPr>
        <w:t xml:space="preserve"> that provides </w:t>
      </w:r>
      <w:r w:rsidR="008615B2" w:rsidRPr="00D97F40">
        <w:t>for equitable sharing of value through all stages of the project life cycle and across a range of outcomes and market conditions. Having self-adjusting fiscal terms defined in advance that anticipate change and respond by equitably rebalancing the revenue sharing can contribute to the durability of the contract</w:t>
      </w:r>
      <w:r w:rsidR="000F078C">
        <w:t xml:space="preserve"> and </w:t>
      </w:r>
      <w:r w:rsidR="000F078C">
        <w:rPr>
          <w:color w:val="000000"/>
        </w:rPr>
        <w:t>lessen the need of renegotiations</w:t>
      </w:r>
      <w:r w:rsidR="004B51B9">
        <w:rPr>
          <w:color w:val="000000"/>
        </w:rPr>
        <w:t>,</w:t>
      </w:r>
      <w:r w:rsidR="000F078C">
        <w:rPr>
          <w:color w:val="000000"/>
        </w:rPr>
        <w:t xml:space="preserve"> by balancing</w:t>
      </w:r>
      <w:r w:rsidR="000F078C" w:rsidRPr="00F8440C">
        <w:rPr>
          <w:color w:val="000000"/>
        </w:rPr>
        <w:t xml:space="preserve"> the interests of host governments and investors in times of both boom and bust</w:t>
      </w:r>
      <w:r w:rsidR="000F078C">
        <w:rPr>
          <w:color w:val="000000"/>
        </w:rPr>
        <w:t xml:space="preserve"> and cope with fluctuations in market conditions (price, cost and volume)</w:t>
      </w:r>
      <w:r w:rsidR="000F078C" w:rsidRPr="00F8440C">
        <w:rPr>
          <w:color w:val="000000"/>
        </w:rPr>
        <w:t>.</w:t>
      </w:r>
      <w:r w:rsidR="000F078C">
        <w:rPr>
          <w:color w:val="000000"/>
        </w:rPr>
        <w:t xml:space="preserve"> </w:t>
      </w:r>
      <w:r w:rsidR="008615B2" w:rsidRPr="00D97F40">
        <w:t xml:space="preserve">This structure can also help governments deal with political pressures to renegotiate </w:t>
      </w:r>
      <w:r w:rsidR="008615B2">
        <w:t xml:space="preserve">or introduce unilateral changes </w:t>
      </w:r>
      <w:r w:rsidR="008615B2" w:rsidRPr="00D97F40">
        <w:t>while maintaining the competitiveness of the contract. In fact, in this arrangement “the government take tends to vary with project profitability so that the government may be less likely to adjust fiscal settings in response to major changes in market conditions”</w:t>
      </w:r>
      <w:r w:rsidR="008615B2" w:rsidRPr="00D97F40">
        <w:rPr>
          <w:rStyle w:val="EndnoteReference"/>
        </w:rPr>
        <w:endnoteReference w:id="28"/>
      </w:r>
      <w:r w:rsidR="008615B2" w:rsidRPr="00D97F40">
        <w:t>. The outcome is then mutually beneficial, with both the government and investors sharing the rewards and enjoying a more sustainable long-term relationship.</w:t>
      </w:r>
      <w:r w:rsidR="00295CAC">
        <w:t xml:space="preserve"> For example, some </w:t>
      </w:r>
      <w:r w:rsidR="00295CAC" w:rsidRPr="0065411C">
        <w:t xml:space="preserve">countries have introduced a </w:t>
      </w:r>
      <w:r w:rsidR="00295CAC">
        <w:t xml:space="preserve">progressive </w:t>
      </w:r>
      <w:r w:rsidR="00295CAC" w:rsidRPr="0065411C">
        <w:t>element in royalties by having them depend on the level of production or in some cases oil price. This is known as a sliding scale royalty, where the royalty rate is low when production or oil price is low and vice versa, thereby decreasing the possibility of negative cash flows when pr</w:t>
      </w:r>
      <w:r w:rsidR="00295CAC">
        <w:t>oduction or oil prices are low</w:t>
      </w:r>
      <w:r w:rsidR="00295CAC" w:rsidRPr="00D97F40">
        <w:t>.</w:t>
      </w:r>
    </w:p>
    <w:p w:rsidR="00650899" w:rsidRDefault="00983629" w:rsidP="00C5051C">
      <w:pPr>
        <w:pStyle w:val="ListParagraph"/>
        <w:numPr>
          <w:ilvl w:val="0"/>
          <w:numId w:val="19"/>
        </w:numPr>
        <w:autoSpaceDE w:val="0"/>
        <w:autoSpaceDN w:val="0"/>
        <w:adjustRightInd w:val="0"/>
        <w:spacing w:before="240" w:after="240"/>
      </w:pPr>
      <w:r>
        <w:lastRenderedPageBreak/>
        <w:t xml:space="preserve">Fiscal instability </w:t>
      </w:r>
      <w:r w:rsidR="008475A4" w:rsidRPr="005C3AA4">
        <w:t xml:space="preserve">is a risk factor that is under direct government control. </w:t>
      </w:r>
      <w:r>
        <w:t xml:space="preserve">It </w:t>
      </w:r>
      <w:r w:rsidR="005C3AA4" w:rsidRPr="005C3AA4">
        <w:t xml:space="preserve">is one of the many items considered by investors, besides geologic, political, </w:t>
      </w:r>
      <w:r w:rsidR="00FE6A86">
        <w:t xml:space="preserve">and </w:t>
      </w:r>
      <w:r w:rsidR="005C3AA4" w:rsidRPr="005C3AA4">
        <w:t>development risks,</w:t>
      </w:r>
      <w:r w:rsidR="00FE6A86">
        <w:t xml:space="preserve"> which</w:t>
      </w:r>
      <w:r w:rsidR="005C3AA4" w:rsidRPr="005C3AA4">
        <w:t xml:space="preserve"> influenc</w:t>
      </w:r>
      <w:r w:rsidR="00AB6853">
        <w:t>e a</w:t>
      </w:r>
      <w:r w:rsidR="00FE6A86">
        <w:t xml:space="preserve">n investor’s view of </w:t>
      </w:r>
      <w:r w:rsidR="005C3AA4" w:rsidRPr="005C3AA4">
        <w:t>the</w:t>
      </w:r>
      <w:r w:rsidR="00AB6853">
        <w:t xml:space="preserve"> </w:t>
      </w:r>
      <w:r w:rsidR="00FE6A86">
        <w:t>overall investment climate and their</w:t>
      </w:r>
      <w:r w:rsidR="00BA31AE">
        <w:t xml:space="preserve"> </w:t>
      </w:r>
      <w:r w:rsidR="005C3AA4" w:rsidRPr="005C3AA4">
        <w:t>assessment of</w:t>
      </w:r>
      <w:r w:rsidR="00FE6A86">
        <w:t xml:space="preserve"> the attractiveness of the opportunity</w:t>
      </w:r>
      <w:r w:rsidR="005C3AA4" w:rsidRPr="005C3AA4">
        <w:t xml:space="preserve">. </w:t>
      </w:r>
      <w:r w:rsidR="008475A4" w:rsidRPr="00045866">
        <w:t xml:space="preserve">The real challenge for the government is to optimise revenue collection by </w:t>
      </w:r>
      <w:r w:rsidR="008475A4">
        <w:t xml:space="preserve">striking a </w:t>
      </w:r>
      <w:r w:rsidR="008475A4" w:rsidRPr="00045866">
        <w:t xml:space="preserve">delicate balance between ensuring an adequate share of revenues for governments whilst maintaining the competitiveness of the fiscal regime under a range of outcomes to provide sufficient incentives for investors to pursue exploration, development and production for optimal resource recovery. </w:t>
      </w:r>
    </w:p>
    <w:p w:rsidR="00650899" w:rsidRDefault="008475A4" w:rsidP="00C5051C">
      <w:pPr>
        <w:pStyle w:val="ListParagraph"/>
        <w:numPr>
          <w:ilvl w:val="0"/>
          <w:numId w:val="19"/>
        </w:numPr>
        <w:autoSpaceDE w:val="0"/>
        <w:autoSpaceDN w:val="0"/>
        <w:adjustRightInd w:val="0"/>
        <w:spacing w:before="240" w:after="240"/>
      </w:pPr>
      <w:r w:rsidRPr="00045866">
        <w:t xml:space="preserve">Pressures for changes in </w:t>
      </w:r>
      <w:r>
        <w:t xml:space="preserve">fiscal </w:t>
      </w:r>
      <w:r w:rsidRPr="00045866">
        <w:t xml:space="preserve">terms may arise </w:t>
      </w:r>
      <w:r w:rsidR="00FE6A86">
        <w:t>from governments and investors for different reasons.</w:t>
      </w:r>
      <w:r w:rsidRPr="00045866">
        <w:t xml:space="preserve"> </w:t>
      </w:r>
      <w:r w:rsidR="00FE6A86">
        <w:t xml:space="preserve">Without price responsive fiscal terms, governments often modify fiscal terms when commodity prices rise in an attempt to capture the windfall. When prices are low two distinct approaches can be observed depending on the country’s financial circumstances: (1) those governments who rely heavily on revenues from extractives for their budgets find themselves in a situation where they need to revise fiscal terms to receive more revenue to fund </w:t>
      </w:r>
      <w:r w:rsidR="00BD10E4">
        <w:t xml:space="preserve">public spending; </w:t>
      </w:r>
      <w:r w:rsidR="00FE6A86">
        <w:t>(2) those governments who wish to encourage continued investment in the extractives industry and increase production levels take action to improve fiscal terms for the investor</w:t>
      </w:r>
      <w:r w:rsidR="00FE6A86" w:rsidRPr="00045866">
        <w:t>.</w:t>
      </w:r>
      <w:r w:rsidR="00FE6A86" w:rsidRPr="00C5051C">
        <w:rPr>
          <w:rFonts w:ascii="TimesNewRomanPSMT" w:hAnsi="TimesNewRomanPSMT" w:cs="TimesNewRomanPSMT"/>
        </w:rPr>
        <w:t xml:space="preserve"> </w:t>
      </w:r>
      <w:r w:rsidR="00662553" w:rsidRPr="00662553">
        <w:t xml:space="preserve">Extractive </w:t>
      </w:r>
      <w:r w:rsidR="00662553">
        <w:t xml:space="preserve">projects </w:t>
      </w:r>
      <w:r w:rsidR="00650899" w:rsidRPr="00650899">
        <w:t>are likely to operate through several economic cycles</w:t>
      </w:r>
      <w:r w:rsidR="00662553">
        <w:t xml:space="preserve"> and </w:t>
      </w:r>
      <w:r w:rsidR="00650899" w:rsidRPr="00650899">
        <w:t>they are likely to experience booms, but also periods of economic stress or even loss.</w:t>
      </w:r>
      <w:r w:rsidR="00650899" w:rsidRPr="00045866">
        <w:t xml:space="preserve"> </w:t>
      </w:r>
      <w:r w:rsidRPr="00045866">
        <w:t xml:space="preserve">If governments frequently change </w:t>
      </w:r>
      <w:r w:rsidR="00662553">
        <w:t>fiscal</w:t>
      </w:r>
      <w:r w:rsidRPr="00045866">
        <w:t xml:space="preserve"> </w:t>
      </w:r>
      <w:r w:rsidR="00662553">
        <w:t>terms</w:t>
      </w:r>
      <w:r w:rsidRPr="00045866">
        <w:t xml:space="preserve"> and structures when prices rise under the assumption that higher prices translate in</w:t>
      </w:r>
      <w:r w:rsidR="00650899">
        <w:t>to unjustifiable</w:t>
      </w:r>
      <w:r w:rsidRPr="00045866">
        <w:t xml:space="preserve"> higher returns to investors, this creates additional fiscal risk </w:t>
      </w:r>
      <w:r w:rsidR="00650899">
        <w:t>that investors</w:t>
      </w:r>
      <w:r w:rsidR="00A75DDD">
        <w:t xml:space="preserve"> will be either unwilling to accept or they will require </w:t>
      </w:r>
      <w:r w:rsidRPr="00045866">
        <w:t xml:space="preserve">expected higher </w:t>
      </w:r>
      <w:r w:rsidR="00A75DDD">
        <w:t xml:space="preserve">project </w:t>
      </w:r>
      <w:r w:rsidRPr="00045866">
        <w:t>returns</w:t>
      </w:r>
      <w:r w:rsidR="00A75DDD">
        <w:t xml:space="preserve"> to compensate that risk, with </w:t>
      </w:r>
      <w:r w:rsidRPr="00045866">
        <w:t xml:space="preserve">a </w:t>
      </w:r>
      <w:r w:rsidR="00A75DDD">
        <w:t xml:space="preserve">consequential </w:t>
      </w:r>
      <w:r w:rsidRPr="00045866">
        <w:t xml:space="preserve">reduction of the resource rent for host governments. </w:t>
      </w:r>
      <w:r w:rsidR="00954320" w:rsidRPr="00045866">
        <w:t xml:space="preserve">The same problem exists in a scenario of sharp decline in commodity prices where the </w:t>
      </w:r>
      <w:r w:rsidR="00A75DDD">
        <w:t xml:space="preserve">driver </w:t>
      </w:r>
      <w:r w:rsidR="00954320" w:rsidRPr="00045866">
        <w:t xml:space="preserve">“may be less on maximizing the capture of resource rents than on sustaining investor commitments to existing projects and encouraging them to sustain investment in risky exploration ventures”. </w:t>
      </w:r>
      <w:r w:rsidR="00954320">
        <w:t xml:space="preserve">In </w:t>
      </w:r>
      <w:r w:rsidR="00A75DDD">
        <w:t xml:space="preserve">either </w:t>
      </w:r>
      <w:r w:rsidR="00954320">
        <w:t xml:space="preserve">circumstance, investors </w:t>
      </w:r>
      <w:r w:rsidR="00A75DDD">
        <w:t xml:space="preserve">require inclusion of </w:t>
      </w:r>
      <w:r w:rsidR="00695E29">
        <w:t xml:space="preserve">fiscal </w:t>
      </w:r>
      <w:r w:rsidR="00954320">
        <w:t>stabilisation clauses in the extractive contract</w:t>
      </w:r>
      <w:r w:rsidR="003A3CCD">
        <w:t xml:space="preserve"> to reduce</w:t>
      </w:r>
      <w:r w:rsidR="00295CAC">
        <w:t xml:space="preserve"> </w:t>
      </w:r>
      <w:r w:rsidR="00A75DDD">
        <w:t>fiscal</w:t>
      </w:r>
      <w:r w:rsidR="003A3CCD">
        <w:t xml:space="preserve"> risk</w:t>
      </w:r>
      <w:r w:rsidR="00954320">
        <w:t>.</w:t>
      </w:r>
      <w:r w:rsidR="007B68E9">
        <w:t xml:space="preserve"> </w:t>
      </w:r>
      <w:r w:rsidR="00695E29">
        <w:t xml:space="preserve">Host governments </w:t>
      </w:r>
      <w:r w:rsidR="00A51081">
        <w:t xml:space="preserve">may </w:t>
      </w:r>
      <w:r w:rsidR="00695E29">
        <w:t xml:space="preserve">not need to offer or accept to include </w:t>
      </w:r>
      <w:proofErr w:type="spellStart"/>
      <w:r w:rsidR="00695E29">
        <w:rPr>
          <w:lang w:val="en-US"/>
        </w:rPr>
        <w:t>stabilisation</w:t>
      </w:r>
      <w:proofErr w:type="spellEnd"/>
      <w:r w:rsidR="00695E29">
        <w:rPr>
          <w:lang w:val="en-US"/>
        </w:rPr>
        <w:t xml:space="preserve"> clauses, if they</w:t>
      </w:r>
      <w:r w:rsidR="00C73C22">
        <w:rPr>
          <w:lang w:val="en-US"/>
        </w:rPr>
        <w:t xml:space="preserve"> could still attract the required investment. Where necessary to attract investment</w:t>
      </w:r>
      <w:r w:rsidR="00695E29">
        <w:rPr>
          <w:lang w:val="en-US"/>
        </w:rPr>
        <w:t xml:space="preserve"> in high-risk environments and reduce investor risk premium</w:t>
      </w:r>
      <w:r w:rsidR="00C73C22">
        <w:rPr>
          <w:lang w:val="en-US"/>
        </w:rPr>
        <w:t xml:space="preserve">, </w:t>
      </w:r>
      <w:r w:rsidR="00695E29">
        <w:rPr>
          <w:lang w:val="en-US"/>
        </w:rPr>
        <w:t xml:space="preserve">fiscal </w:t>
      </w:r>
      <w:proofErr w:type="spellStart"/>
      <w:r w:rsidR="00695E29">
        <w:rPr>
          <w:lang w:val="en-US"/>
        </w:rPr>
        <w:t>stabilisation</w:t>
      </w:r>
      <w:proofErr w:type="spellEnd"/>
      <w:r w:rsidR="00695E29">
        <w:rPr>
          <w:lang w:val="en-US"/>
        </w:rPr>
        <w:t xml:space="preserve"> clauses can be designed to </w:t>
      </w:r>
      <w:proofErr w:type="spellStart"/>
      <w:r w:rsidR="00695E29">
        <w:rPr>
          <w:lang w:val="en-US"/>
        </w:rPr>
        <w:t>minimise</w:t>
      </w:r>
      <w:proofErr w:type="spellEnd"/>
      <w:r w:rsidR="00695E29">
        <w:rPr>
          <w:lang w:val="en-US"/>
        </w:rPr>
        <w:t xml:space="preserve"> the general tax policy impact, by limiting </w:t>
      </w:r>
      <w:r w:rsidR="00C73C22">
        <w:rPr>
          <w:lang w:val="en-US"/>
        </w:rPr>
        <w:t>the</w:t>
      </w:r>
      <w:r w:rsidR="00695E29">
        <w:rPr>
          <w:lang w:val="en-US"/>
        </w:rPr>
        <w:t>ir</w:t>
      </w:r>
      <w:r w:rsidR="00C73C22">
        <w:rPr>
          <w:lang w:val="en-US"/>
        </w:rPr>
        <w:t xml:space="preserve"> scope to specific key fiscal terms (not all </w:t>
      </w:r>
      <w:r w:rsidR="00695E29">
        <w:rPr>
          <w:lang w:val="en-US"/>
        </w:rPr>
        <w:t xml:space="preserve">fiscal </w:t>
      </w:r>
      <w:r w:rsidR="00C73C22">
        <w:rPr>
          <w:lang w:val="en-US"/>
        </w:rPr>
        <w:t>terms) for a specific period of time (not indefinitely).</w:t>
      </w:r>
    </w:p>
    <w:p w:rsidR="008475A4" w:rsidRPr="00C5051C" w:rsidRDefault="008475A4" w:rsidP="00C5051C">
      <w:pPr>
        <w:pStyle w:val="ListParagraph"/>
        <w:numPr>
          <w:ilvl w:val="0"/>
          <w:numId w:val="19"/>
        </w:numPr>
        <w:autoSpaceDE w:val="0"/>
        <w:autoSpaceDN w:val="0"/>
        <w:adjustRightInd w:val="0"/>
        <w:spacing w:before="240" w:after="240"/>
      </w:pPr>
      <w:r w:rsidRPr="00045866">
        <w:t xml:space="preserve">Chasing the price of commodities is neither efficient, given that price volatility tends to be cyclical and is a structural characteristic of the market, nor it is productive as experience shows that this resulted in strained relationships </w:t>
      </w:r>
      <w:r w:rsidRPr="00C5051C">
        <w:rPr>
          <w:color w:val="000000"/>
        </w:rPr>
        <w:t>between host governments and investors</w:t>
      </w:r>
      <w:r w:rsidRPr="00045866">
        <w:rPr>
          <w:rStyle w:val="EndnoteReference"/>
          <w:color w:val="000000"/>
        </w:rPr>
        <w:endnoteReference w:id="29"/>
      </w:r>
      <w:r w:rsidRPr="00C5051C">
        <w:rPr>
          <w:color w:val="000000"/>
        </w:rPr>
        <w:t xml:space="preserve">, </w:t>
      </w:r>
      <w:r w:rsidRPr="00045866">
        <w:t xml:space="preserve">leading to renegotiation of agreements or unilateral imposition of new fiscal terms by governments. Host governments should aim to structure a credible </w:t>
      </w:r>
      <w:r w:rsidR="00650899">
        <w:t>fiscal</w:t>
      </w:r>
      <w:r w:rsidRPr="00045866">
        <w:t xml:space="preserve"> system that does not distort production decisions, </w:t>
      </w:r>
      <w:r w:rsidR="00A75DDD">
        <w:t xml:space="preserve">is responsive to price changes, and </w:t>
      </w:r>
      <w:r w:rsidRPr="00045866">
        <w:t>allow</w:t>
      </w:r>
      <w:r w:rsidR="00A75DDD">
        <w:t>s</w:t>
      </w:r>
      <w:r w:rsidRPr="00045866">
        <w:t xml:space="preserve"> both governments and investors to reduce risk and </w:t>
      </w:r>
      <w:r w:rsidR="00A75DDD">
        <w:t xml:space="preserve">adequately deal with </w:t>
      </w:r>
      <w:r w:rsidRPr="00045866">
        <w:t>imperfect information at the time of the signature of the contract.</w:t>
      </w:r>
    </w:p>
    <w:p w:rsidR="00A51081" w:rsidRPr="00650899" w:rsidRDefault="000F078C" w:rsidP="00A51081">
      <w:pPr>
        <w:pStyle w:val="ListParagraph"/>
        <w:numPr>
          <w:ilvl w:val="0"/>
          <w:numId w:val="19"/>
        </w:numPr>
        <w:rPr>
          <w:sz w:val="24"/>
          <w:szCs w:val="24"/>
          <w:lang w:val="en-US"/>
        </w:rPr>
      </w:pPr>
      <w:r>
        <w:rPr>
          <w:color w:val="000000"/>
        </w:rPr>
        <w:t>Depending on context</w:t>
      </w:r>
      <w:r w:rsidR="00A51081">
        <w:rPr>
          <w:color w:val="000000"/>
        </w:rPr>
        <w:t xml:space="preserve"> and </w:t>
      </w:r>
      <w:r w:rsidR="00A51081">
        <w:t>r</w:t>
      </w:r>
      <w:r w:rsidR="00A51081" w:rsidRPr="00D97F40">
        <w:t xml:space="preserve">egardless of the type of </w:t>
      </w:r>
      <w:r w:rsidR="00A51081">
        <w:t xml:space="preserve">fiscal </w:t>
      </w:r>
      <w:r w:rsidR="00A51081" w:rsidRPr="00D97F40">
        <w:t>system</w:t>
      </w:r>
      <w:r w:rsidR="00A51081">
        <w:t xml:space="preserve"> adopted by a host government</w:t>
      </w:r>
      <w:r w:rsidR="00A51081" w:rsidRPr="00D97F40">
        <w:t>,</w:t>
      </w:r>
      <w:r>
        <w:rPr>
          <w:color w:val="000000"/>
        </w:rPr>
        <w:t xml:space="preserve"> </w:t>
      </w:r>
      <w:r w:rsidR="004F7A38">
        <w:rPr>
          <w:color w:val="000000"/>
        </w:rPr>
        <w:t xml:space="preserve">it may be appropriate to ensure </w:t>
      </w:r>
      <w:r>
        <w:rPr>
          <w:color w:val="000000"/>
        </w:rPr>
        <w:t>a minimum flow of revenues</w:t>
      </w:r>
      <w:r w:rsidR="004F7A38">
        <w:rPr>
          <w:color w:val="000000"/>
        </w:rPr>
        <w:t xml:space="preserve"> to the host government</w:t>
      </w:r>
      <w:r>
        <w:rPr>
          <w:color w:val="000000"/>
        </w:rPr>
        <w:t xml:space="preserve"> for each year of commercial production</w:t>
      </w:r>
      <w:r w:rsidR="004F7A38">
        <w:rPr>
          <w:color w:val="000000"/>
        </w:rPr>
        <w:t xml:space="preserve">, </w:t>
      </w:r>
      <w:r>
        <w:rPr>
          <w:color w:val="000000"/>
        </w:rPr>
        <w:t>coupled with the variable component which is linked to profitability</w:t>
      </w:r>
      <w:r w:rsidR="00A51081" w:rsidRPr="00A51081">
        <w:t xml:space="preserve"> </w:t>
      </w:r>
      <w:r w:rsidR="00A51081" w:rsidRPr="00D97F40">
        <w:t>to help align interests of the government and investor</w:t>
      </w:r>
      <w:r>
        <w:rPr>
          <w:color w:val="000000"/>
        </w:rPr>
        <w:t xml:space="preserve">. </w:t>
      </w:r>
      <w:r w:rsidR="00A51081">
        <w:t xml:space="preserve">In a concessionary or tax-royalty system, early government revenue </w:t>
      </w:r>
      <w:r w:rsidR="00A51081" w:rsidRPr="00D97F40">
        <w:t>can be achieved through a production-based royalty payment</w:t>
      </w:r>
      <w:r w:rsidR="00A51081">
        <w:t xml:space="preserve"> while in a</w:t>
      </w:r>
      <w:r w:rsidR="00A51081" w:rsidRPr="00D97F40">
        <w:t xml:space="preserve"> production sharing contract </w:t>
      </w:r>
      <w:r w:rsidR="00A51081">
        <w:t xml:space="preserve">the same result can be achieved by imposing an annual recovery ceiling that is </w:t>
      </w:r>
      <w:r w:rsidR="00A51081" w:rsidRPr="00D97F40">
        <w:t xml:space="preserve">less than 100% </w:t>
      </w:r>
      <w:r w:rsidR="00A51081">
        <w:t xml:space="preserve">of revenue </w:t>
      </w:r>
      <w:r w:rsidR="00A51081" w:rsidRPr="00D97F40">
        <w:t>in each year</w:t>
      </w:r>
      <w:r w:rsidR="00A51081">
        <w:t xml:space="preserve"> or alternatively via a modest royalty element</w:t>
      </w:r>
      <w:r w:rsidR="00A51081" w:rsidRPr="00D97F40">
        <w:t>. With these terms included, as long as there is production, the government will receive some benefit ea</w:t>
      </w:r>
      <w:r w:rsidR="00A51081">
        <w:t xml:space="preserve">rly in the project life cycle. </w:t>
      </w:r>
    </w:p>
    <w:p w:rsidR="003A3CCD" w:rsidRPr="003A3CCD" w:rsidRDefault="00D97F40" w:rsidP="00D97F40">
      <w:pPr>
        <w:pStyle w:val="ListParagraph"/>
        <w:numPr>
          <w:ilvl w:val="0"/>
          <w:numId w:val="19"/>
        </w:numPr>
        <w:rPr>
          <w:sz w:val="24"/>
          <w:szCs w:val="24"/>
          <w:lang w:val="en-US"/>
        </w:rPr>
      </w:pPr>
      <w:r w:rsidRPr="00D97F40">
        <w:lastRenderedPageBreak/>
        <w:t>Early revenue is of particular importance to governments with newly developing extractive industries to bolster their budgets and whose p</w:t>
      </w:r>
      <w:r>
        <w:t>opulation is expecting to realis</w:t>
      </w:r>
      <w:r w:rsidRPr="00D97F40">
        <w:t>e some immediate benefits from its resource development.</w:t>
      </w:r>
      <w:r w:rsidR="007E6BDA" w:rsidRPr="007E6BDA">
        <w:rPr>
          <w:color w:val="000000"/>
        </w:rPr>
        <w:t xml:space="preserve"> </w:t>
      </w:r>
      <w:r w:rsidR="007E6BDA" w:rsidRPr="00045866">
        <w:rPr>
          <w:color w:val="000000"/>
        </w:rPr>
        <w:t>The rationale is that whatever the price</w:t>
      </w:r>
      <w:r w:rsidR="007E6BDA" w:rsidRPr="00045866">
        <w:t xml:space="preserve"> of the commodity, the mere fact of extraction triggers a </w:t>
      </w:r>
      <w:r w:rsidR="00295CAC">
        <w:t xml:space="preserve">revenue </w:t>
      </w:r>
      <w:r w:rsidR="007E6BDA" w:rsidRPr="00045866">
        <w:t>payment. If the project</w:t>
      </w:r>
      <w:r w:rsidR="00295CAC">
        <w:t xml:space="preserve"> was not economically justified,</w:t>
      </w:r>
      <w:r w:rsidR="007E6BDA" w:rsidRPr="00045866">
        <w:t xml:space="preserve"> there </w:t>
      </w:r>
      <w:r w:rsidR="00295CAC">
        <w:t>will not</w:t>
      </w:r>
      <w:r w:rsidR="007E6BDA" w:rsidRPr="00045866">
        <w:t xml:space="preserve"> be commercial production going on. If the project </w:t>
      </w:r>
      <w:r w:rsidR="00295CAC">
        <w:t xml:space="preserve">was attractive </w:t>
      </w:r>
      <w:r w:rsidR="00AB6853">
        <w:t>for investment and therefore</w:t>
      </w:r>
      <w:r w:rsidR="007E6BDA" w:rsidRPr="00045866">
        <w:t xml:space="preserve"> there is commercial production, the government should benefit from it because the investor is doing it for a profitable reason.</w:t>
      </w:r>
      <w:r w:rsidRPr="00D97F40">
        <w:t xml:space="preserve"> The proposed approach can be particularly useful for host governments with </w:t>
      </w:r>
      <w:r w:rsidR="00295CAC">
        <w:t xml:space="preserve">a </w:t>
      </w:r>
      <w:r w:rsidRPr="00D97F40">
        <w:t xml:space="preserve">large resource </w:t>
      </w:r>
      <w:r w:rsidR="00295CAC">
        <w:t>endowment</w:t>
      </w:r>
      <w:r w:rsidRPr="00D97F40">
        <w:t xml:space="preserve">, </w:t>
      </w:r>
      <w:r w:rsidR="00295CAC">
        <w:t xml:space="preserve">yet </w:t>
      </w:r>
      <w:r w:rsidRPr="00D97F40">
        <w:t>limited access to capital markets and a limited portfolio of projects. Under these circumstances, ensuring that the host government gets an early revenue stream as soon as production starts and whenever production occurs may be desirable</w:t>
      </w:r>
      <w:r w:rsidR="00173270">
        <w:t xml:space="preserve"> – though </w:t>
      </w:r>
      <w:r w:rsidR="00BA31AE">
        <w:rPr>
          <w:rFonts w:eastAsia="Times New Roman"/>
        </w:rPr>
        <w:t xml:space="preserve">revenue generation may start before production begins where </w:t>
      </w:r>
      <w:r w:rsidR="000A2D65">
        <w:rPr>
          <w:rFonts w:eastAsia="Times New Roman"/>
        </w:rPr>
        <w:t xml:space="preserve">signature and discovery </w:t>
      </w:r>
      <w:r w:rsidR="00BA31AE">
        <w:rPr>
          <w:rFonts w:eastAsia="Times New Roman"/>
        </w:rPr>
        <w:t>bonuses are in place. T</w:t>
      </w:r>
      <w:r w:rsidR="00173270">
        <w:t xml:space="preserve">here could be circumstances where </w:t>
      </w:r>
      <w:r w:rsidR="00BA31AE">
        <w:t xml:space="preserve">output-based royalties </w:t>
      </w:r>
      <w:r w:rsidR="00173270">
        <w:t xml:space="preserve">may not be </w:t>
      </w:r>
      <w:r w:rsidR="00BA31AE">
        <w:t xml:space="preserve">desirable </w:t>
      </w:r>
      <w:r w:rsidR="00173270">
        <w:t>if the additional production cost imposed by the royalty makes the difference between acceptable and unacceptable profitability</w:t>
      </w:r>
      <w:r w:rsidRPr="00D97F40">
        <w:t xml:space="preserve">. </w:t>
      </w:r>
      <w:r w:rsidR="00295CAC">
        <w:t xml:space="preserve">Royalties </w:t>
      </w:r>
      <w:r w:rsidR="00983629" w:rsidRPr="0065411C">
        <w:t>may discourage incremental investments in mature high cost deposits for full recovery of the resources and lead to a premature abandonment of the field, because they can cause operating income to become negative even when gross revenues exceed extraction costs.</w:t>
      </w:r>
      <w:r w:rsidR="00983629">
        <w:t xml:space="preserve"> </w:t>
      </w:r>
      <w:r w:rsidR="00295CAC">
        <w:t>The level of royalty will be of critical importance to the investor.</w:t>
      </w:r>
    </w:p>
    <w:p w:rsidR="003A3CCD" w:rsidRPr="003A3CCD" w:rsidRDefault="003A3CCD" w:rsidP="003A3CCD">
      <w:pPr>
        <w:pStyle w:val="ListParagraph"/>
        <w:ind w:left="720"/>
        <w:rPr>
          <w:sz w:val="24"/>
          <w:szCs w:val="24"/>
          <w:lang w:val="en-US"/>
        </w:rPr>
      </w:pPr>
    </w:p>
    <w:p w:rsidR="00D97F40" w:rsidRPr="00D97F40" w:rsidRDefault="001B6A98" w:rsidP="00D97F40">
      <w:pPr>
        <w:pStyle w:val="ListParagraph"/>
        <w:numPr>
          <w:ilvl w:val="0"/>
          <w:numId w:val="19"/>
        </w:numPr>
        <w:rPr>
          <w:sz w:val="24"/>
          <w:szCs w:val="24"/>
          <w:lang w:val="en-US"/>
        </w:rPr>
      </w:pPr>
      <w:r>
        <w:t>G</w:t>
      </w:r>
      <w:r w:rsidR="00D97F40" w:rsidRPr="00D97F40">
        <w:t xml:space="preserve">overnments that have a wide portfolio of projects may not necessarily need </w:t>
      </w:r>
      <w:r w:rsidR="00173270">
        <w:t xml:space="preserve">nor desire </w:t>
      </w:r>
      <w:r w:rsidR="00D97F40" w:rsidRPr="00D97F40">
        <w:t>to receive a payment in every year of production from every single project and may be able to withstand fluctuations through diversifying risk and optimizing revenue across the wide range of production through macro-economic management.</w:t>
      </w:r>
    </w:p>
    <w:p w:rsidR="008475A4" w:rsidRDefault="008475A4" w:rsidP="00C5051C">
      <w:pPr>
        <w:pStyle w:val="ListParagraph"/>
        <w:numPr>
          <w:ilvl w:val="0"/>
          <w:numId w:val="19"/>
        </w:numPr>
        <w:autoSpaceDE w:val="0"/>
        <w:autoSpaceDN w:val="0"/>
        <w:adjustRightInd w:val="0"/>
        <w:spacing w:before="240" w:after="240"/>
      </w:pPr>
      <w:r w:rsidRPr="00045866">
        <w:t xml:space="preserve">Governments need to decide what combination of </w:t>
      </w:r>
      <w:r w:rsidR="00C64F7A">
        <w:t xml:space="preserve">fiscal elements will be </w:t>
      </w:r>
      <w:r w:rsidRPr="00045866">
        <w:t xml:space="preserve"> appropriate </w:t>
      </w:r>
      <w:r w:rsidR="00C64F7A">
        <w:t>for their</w:t>
      </w:r>
      <w:r w:rsidRPr="00045866">
        <w:t xml:space="preserve"> individual circumstances</w:t>
      </w:r>
      <w:r w:rsidR="00173270">
        <w:t xml:space="preserve"> </w:t>
      </w:r>
      <w:r w:rsidR="00173270" w:rsidRPr="004D3B41">
        <w:t xml:space="preserve">– those circumstances not being just how much the government wants to raise and spend, but how </w:t>
      </w:r>
      <w:r w:rsidR="00C64F7A">
        <w:t xml:space="preserve">competitive </w:t>
      </w:r>
      <w:r w:rsidR="00173270" w:rsidRPr="004D3B41">
        <w:t xml:space="preserve">the government wishes to be </w:t>
      </w:r>
      <w:r w:rsidR="00C64F7A">
        <w:t xml:space="preserve">to attract </w:t>
      </w:r>
      <w:r w:rsidR="00173270" w:rsidRPr="004D3B41">
        <w:t>investment</w:t>
      </w:r>
      <w:r w:rsidRPr="00045866">
        <w:t xml:space="preserve">. </w:t>
      </w:r>
      <w:r w:rsidR="00C64F7A" w:rsidRPr="00F17A1B">
        <w:t>So, the optimal level of flexibility is likely to involve trading this off against the associated costs of risk-bearing.</w:t>
      </w:r>
      <w:r w:rsidR="00DC5CA7">
        <w:t xml:space="preserve"> </w:t>
      </w:r>
      <w:r w:rsidRPr="00045866">
        <w:t xml:space="preserve">A risk-averse government may </w:t>
      </w:r>
      <w:r>
        <w:t xml:space="preserve">legitimately opt for greater </w:t>
      </w:r>
      <w:r w:rsidR="00FE6A86">
        <w:t xml:space="preserve">certainty </w:t>
      </w:r>
      <w:r>
        <w:t xml:space="preserve">of </w:t>
      </w:r>
      <w:r w:rsidR="00C64F7A">
        <w:t xml:space="preserve">the percentage of </w:t>
      </w:r>
      <w:r>
        <w:t xml:space="preserve">revenue flows </w:t>
      </w:r>
      <w:r w:rsidR="00C64F7A">
        <w:t xml:space="preserve">it will receive </w:t>
      </w:r>
      <w:r>
        <w:t>and</w:t>
      </w:r>
      <w:r w:rsidRPr="00045866">
        <w:t xml:space="preserve"> forego the prospect of exceptional revenues to reduce the risk of very poor outcomes</w:t>
      </w:r>
      <w:r w:rsidR="006D42CC">
        <w:t>, though the flip side</w:t>
      </w:r>
      <w:r w:rsidR="001D5E9B">
        <w:t xml:space="preserve"> of this may be a greater risk of reduced investment</w:t>
      </w:r>
      <w:r w:rsidRPr="00045866">
        <w:t xml:space="preserve">. </w:t>
      </w:r>
      <w:r>
        <w:t xml:space="preserve">A fiscal system where revenue is not responsive to changes in future market conditions reduces the risk of fiscal loss, but also does not </w:t>
      </w:r>
      <w:r w:rsidR="00C64F7A">
        <w:t xml:space="preserve">adequately </w:t>
      </w:r>
      <w:r>
        <w:t xml:space="preserve">manage the risk of fiscal gain and participation in the upside when exceptional profits materialise. This scenario should be avoided to ease political economy pressures to renege on initial agreements, </w:t>
      </w:r>
      <w:r w:rsidR="00C64F7A">
        <w:t xml:space="preserve">which leads </w:t>
      </w:r>
      <w:r>
        <w:t>to unilateral changes of fiscal terms or renegotiation</w:t>
      </w:r>
      <w:r w:rsidR="00612F4F">
        <w:t xml:space="preserve"> that often prompt investors to </w:t>
      </w:r>
      <w:r w:rsidR="00C64F7A">
        <w:t xml:space="preserve">require </w:t>
      </w:r>
      <w:r w:rsidR="00612F4F">
        <w:t>stabilisation clauses</w:t>
      </w:r>
      <w:r w:rsidRPr="00045866">
        <w:t xml:space="preserve">. </w:t>
      </w:r>
      <w:r w:rsidR="00C64F7A">
        <w:t xml:space="preserve">Durable </w:t>
      </w:r>
      <w:r w:rsidRPr="00045866">
        <w:t xml:space="preserve">contracts should have some provisions </w:t>
      </w:r>
      <w:r>
        <w:t>that allow for</w:t>
      </w:r>
      <w:r w:rsidR="00C64F7A">
        <w:t xml:space="preserve"> the government’s</w:t>
      </w:r>
      <w:r>
        <w:t xml:space="preserve"> </w:t>
      </w:r>
      <w:r w:rsidRPr="00045866">
        <w:t xml:space="preserve">revenue </w:t>
      </w:r>
      <w:r w:rsidR="00C64F7A">
        <w:t xml:space="preserve">share to </w:t>
      </w:r>
      <w:r w:rsidRPr="00045866">
        <w:t>increase when resource prices rise</w:t>
      </w:r>
      <w:r w:rsidR="005C3AA4">
        <w:t xml:space="preserve"> and also </w:t>
      </w:r>
      <w:r w:rsidR="00983629">
        <w:t>r</w:t>
      </w:r>
      <w:r w:rsidR="005C3AA4">
        <w:t xml:space="preserve">eadjust </w:t>
      </w:r>
      <w:r w:rsidR="00C64F7A">
        <w:t xml:space="preserve">downward </w:t>
      </w:r>
      <w:r w:rsidR="005C3AA4">
        <w:t xml:space="preserve">when resource prices fall. </w:t>
      </w:r>
    </w:p>
    <w:p w:rsidR="008475A4" w:rsidRPr="00C5051C" w:rsidRDefault="00C64F7A" w:rsidP="00C5051C">
      <w:pPr>
        <w:pStyle w:val="ListParagraph"/>
        <w:numPr>
          <w:ilvl w:val="0"/>
          <w:numId w:val="19"/>
        </w:numPr>
        <w:autoSpaceDE w:val="0"/>
        <w:autoSpaceDN w:val="0"/>
        <w:adjustRightInd w:val="0"/>
        <w:spacing w:before="240" w:after="240"/>
      </w:pPr>
      <w:r>
        <w:t xml:space="preserve">Beyond </w:t>
      </w:r>
      <w:r w:rsidR="008475A4" w:rsidRPr="00F17A1B">
        <w:t>attitudes toward</w:t>
      </w:r>
      <w:r w:rsidR="0055110D">
        <w:t>s</w:t>
      </w:r>
      <w:r w:rsidR="008475A4" w:rsidRPr="00F17A1B">
        <w:t xml:space="preserve"> risk</w:t>
      </w:r>
      <w:r>
        <w:t xml:space="preserve">, </w:t>
      </w:r>
      <w:r w:rsidR="001F568C">
        <w:t>the government</w:t>
      </w:r>
      <w:r>
        <w:t>’s limited administrative</w:t>
      </w:r>
      <w:r w:rsidR="001F568C">
        <w:t xml:space="preserve"> capacity and performance in managing variable revenues</w:t>
      </w:r>
      <w:r w:rsidR="008475A4" w:rsidRPr="00F17A1B">
        <w:t>, may point to heavier reliance on royalties than elsewhere.</w:t>
      </w:r>
      <w:r w:rsidR="008475A4">
        <w:rPr>
          <w:rStyle w:val="EndnoteReference"/>
        </w:rPr>
        <w:endnoteReference w:id="30"/>
      </w:r>
      <w:r w:rsidR="008475A4" w:rsidRPr="00F17A1B">
        <w:t xml:space="preserve"> </w:t>
      </w:r>
    </w:p>
    <w:p w:rsidR="00AB6853" w:rsidRDefault="00DC5CA7" w:rsidP="00C5051C">
      <w:pPr>
        <w:pStyle w:val="ListParagraph"/>
        <w:numPr>
          <w:ilvl w:val="0"/>
          <w:numId w:val="19"/>
        </w:numPr>
        <w:tabs>
          <w:tab w:val="left" w:pos="720"/>
        </w:tabs>
        <w:autoSpaceDE w:val="0"/>
        <w:autoSpaceDN w:val="0"/>
        <w:adjustRightInd w:val="0"/>
        <w:spacing w:before="240" w:after="240"/>
      </w:pPr>
      <w:r>
        <w:t xml:space="preserve">A </w:t>
      </w:r>
      <w:r w:rsidR="008475A4">
        <w:t xml:space="preserve">fiscal system that provides for combination of </w:t>
      </w:r>
      <w:r>
        <w:t xml:space="preserve">reasonable revenue certainty and is responsive to market conditions and outcomes </w:t>
      </w:r>
      <w:r w:rsidR="008475A4">
        <w:t xml:space="preserve">will be perceived as more </w:t>
      </w:r>
      <w:r>
        <w:t xml:space="preserve">durable </w:t>
      </w:r>
      <w:r w:rsidR="008475A4">
        <w:t>as it will reduce</w:t>
      </w:r>
      <w:r w:rsidR="008475A4" w:rsidRPr="00045866">
        <w:t xml:space="preserve"> the likelihood that a change of fiscal terms would be imposed unilaterally, </w:t>
      </w:r>
      <w:r w:rsidR="008475A4">
        <w:t xml:space="preserve">and consequently </w:t>
      </w:r>
      <w:r w:rsidR="008475A4" w:rsidRPr="00045866">
        <w:t>the perception of risk</w:t>
      </w:r>
      <w:r w:rsidR="008475A4">
        <w:t xml:space="preserve">, which in turn can translate into </w:t>
      </w:r>
      <w:r>
        <w:t xml:space="preserve">higher level of </w:t>
      </w:r>
      <w:r w:rsidR="008475A4">
        <w:t xml:space="preserve">investment </w:t>
      </w:r>
      <w:r>
        <w:t xml:space="preserve">or potentially a reduced investment hurdle rate </w:t>
      </w:r>
      <w:r w:rsidR="008475A4">
        <w:t xml:space="preserve">and </w:t>
      </w:r>
      <w:r>
        <w:t xml:space="preserve">therefore an </w:t>
      </w:r>
      <w:r w:rsidR="008475A4">
        <w:t xml:space="preserve">increase </w:t>
      </w:r>
      <w:r>
        <w:t xml:space="preserve">in </w:t>
      </w:r>
      <w:r w:rsidR="008475A4">
        <w:t>the size of the total resource rent available for both host governments and investors</w:t>
      </w:r>
      <w:r w:rsidR="008475A4" w:rsidRPr="00045866">
        <w:t>.</w:t>
      </w:r>
    </w:p>
    <w:p w:rsidR="00E12E3B" w:rsidRPr="00553B27" w:rsidRDefault="008475A4" w:rsidP="00AB6853">
      <w:pPr>
        <w:pStyle w:val="ListParagraph"/>
        <w:tabs>
          <w:tab w:val="left" w:pos="720"/>
        </w:tabs>
        <w:autoSpaceDE w:val="0"/>
        <w:autoSpaceDN w:val="0"/>
        <w:adjustRightInd w:val="0"/>
        <w:spacing w:before="240" w:after="240"/>
        <w:ind w:left="720"/>
        <w:sectPr w:rsidR="00E12E3B" w:rsidRPr="00553B27" w:rsidSect="008475A4">
          <w:headerReference w:type="default" r:id="rId21"/>
          <w:footerReference w:type="even" r:id="rId22"/>
          <w:footerReference w:type="default" r:id="rId23"/>
          <w:endnotePr>
            <w:numFmt w:val="decimal"/>
          </w:endnotePr>
          <w:type w:val="oddPage"/>
          <w:pgSz w:w="11906" w:h="16838"/>
          <w:pgMar w:top="1984" w:right="1274" w:bottom="1814" w:left="1191" w:header="567" w:footer="1247" w:gutter="0"/>
          <w:cols w:space="720"/>
          <w:docGrid w:linePitch="299"/>
        </w:sectPr>
      </w:pPr>
      <w:r w:rsidRPr="00045866">
        <w:t xml:space="preserve"> </w:t>
      </w:r>
    </w:p>
    <w:p w:rsidR="00E12E3B" w:rsidRPr="00C5051C" w:rsidRDefault="00C5051C" w:rsidP="00C5051C">
      <w:pPr>
        <w:pStyle w:val="Heading1"/>
        <w:numPr>
          <w:ilvl w:val="0"/>
          <w:numId w:val="0"/>
        </w:numPr>
        <w:contextualSpacing/>
        <w:rPr>
          <w:color w:val="auto"/>
          <w:sz w:val="22"/>
          <w:szCs w:val="22"/>
        </w:rPr>
      </w:pPr>
      <w:bookmarkStart w:id="15" w:name="_Toc483918897"/>
      <w:bookmarkEnd w:id="0"/>
      <w:bookmarkEnd w:id="1"/>
      <w:bookmarkEnd w:id="2"/>
      <w:bookmarkEnd w:id="3"/>
      <w:bookmarkEnd w:id="4"/>
      <w:r w:rsidRPr="00C5051C">
        <w:rPr>
          <w:color w:val="auto"/>
          <w:sz w:val="22"/>
          <w:szCs w:val="22"/>
        </w:rPr>
        <w:lastRenderedPageBreak/>
        <w:t>NOTES</w:t>
      </w:r>
      <w:bookmarkEnd w:id="15"/>
    </w:p>
    <w:sectPr w:rsidR="00E12E3B" w:rsidRPr="00C5051C" w:rsidSect="008475A4">
      <w:headerReference w:type="even" r:id="rId24"/>
      <w:headerReference w:type="default" r:id="rId25"/>
      <w:footerReference w:type="even" r:id="rId26"/>
      <w:footerReference w:type="default" r:id="rId27"/>
      <w:headerReference w:type="first" r:id="rId28"/>
      <w:endnotePr>
        <w:numFmt w:val="decimal"/>
      </w:endnotePr>
      <w:pgSz w:w="11906" w:h="16838"/>
      <w:pgMar w:top="1705" w:right="1247" w:bottom="1814" w:left="1191" w:header="567"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FD" w:rsidRPr="00571842" w:rsidRDefault="009707FD" w:rsidP="00571842">
      <w:pPr>
        <w:pStyle w:val="Footer"/>
      </w:pPr>
    </w:p>
  </w:endnote>
  <w:endnote w:type="continuationSeparator" w:id="0">
    <w:p w:rsidR="009707FD" w:rsidRDefault="009707FD"/>
  </w:endnote>
  <w:endnote w:type="continuationNotice" w:id="1">
    <w:p w:rsidR="009707FD" w:rsidRDefault="009707FD"/>
  </w:endnote>
  <w:endnote w:id="2">
    <w:p w:rsidR="009707FD" w:rsidRDefault="009707FD">
      <w:pPr>
        <w:pStyle w:val="EndnoteText"/>
      </w:pPr>
      <w:r>
        <w:rPr>
          <w:rStyle w:val="EndnoteReference"/>
        </w:rPr>
        <w:endnoteRef/>
      </w:r>
      <w:r>
        <w:t xml:space="preserve"> </w:t>
      </w:r>
      <w:r w:rsidRPr="00A80F04">
        <w:t>IMF (2007), Guide on Resource Revenue Transparency, p.17, available at https://www.imf.org/external/np/pp/2007/eng/051507g.pdf; UN (2015), Principles for responsible contracts, p.32, available at http://www.ohchr.org/Documents/Publications/Principles_ResponsibleContracts_HR_PUB_15_1_EN.pdf; International Bar Association (2011), Model Mining Development agreement, p.130, http://www.mmdaproject.org/presentations/MMDA1_0_110404Bookletv3.pdf; Extractive Industries Transparency Initiative (2016), The EITI Standard, p.20, available at https://eiti.org/sites/default/files/migrated_files/english_eiti_standard_0.pdf</w:t>
      </w:r>
    </w:p>
  </w:endnote>
  <w:endnote w:id="3">
    <w:p w:rsidR="006A30DF" w:rsidRDefault="006A30DF" w:rsidP="006A30DF">
      <w:pPr>
        <w:pStyle w:val="EndnoteText"/>
      </w:pPr>
      <w:r>
        <w:rPr>
          <w:rStyle w:val="EndnoteReference"/>
        </w:rPr>
        <w:endnoteRef/>
      </w:r>
      <w:r>
        <w:t xml:space="preserve"> OECD (2016), </w:t>
      </w:r>
      <w:r w:rsidRPr="003634B1">
        <w:rPr>
          <w:i/>
          <w:iCs/>
        </w:rPr>
        <w:t>Collaborative Strategies for In-Country Shared Value Creation: Framework for Extractive Projects</w:t>
      </w:r>
      <w:r>
        <w:rPr>
          <w:iCs/>
        </w:rPr>
        <w:t xml:space="preserve">, </w:t>
      </w:r>
      <w:r>
        <w:rPr>
          <w:lang w:val="en"/>
        </w:rPr>
        <w:t>OECD Publishing, Paris</w:t>
      </w:r>
      <w:proofErr w:type="gramStart"/>
      <w:r>
        <w:rPr>
          <w:lang w:val="en"/>
        </w:rPr>
        <w:t>,.</w:t>
      </w:r>
      <w:proofErr w:type="gramEnd"/>
    </w:p>
  </w:endnote>
  <w:endnote w:id="4">
    <w:p w:rsidR="006A30DF" w:rsidRDefault="006A30DF" w:rsidP="006A30DF">
      <w:pPr>
        <w:pStyle w:val="EndnoteText"/>
      </w:pPr>
      <w:r>
        <w:rPr>
          <w:rStyle w:val="EndnoteReference"/>
        </w:rPr>
        <w:endnoteRef/>
      </w:r>
      <w:r>
        <w:t xml:space="preserve"> OECD (2016), Corruption in the Extractive Value Chain: Typology of Risks, Mitigation Measures and Incentives, OECD Development Policy Tools, OECD Publishing, Paris. http://dx.doi.org/10.1787/9789264256569-en.</w:t>
      </w:r>
    </w:p>
  </w:endnote>
  <w:endnote w:id="5">
    <w:p w:rsidR="006A30DF" w:rsidRDefault="006A30DF" w:rsidP="006A30DF">
      <w:pPr>
        <w:pStyle w:val="EndnoteText"/>
      </w:pPr>
      <w:r>
        <w:rPr>
          <w:rStyle w:val="EndnoteReference"/>
        </w:rPr>
        <w:endnoteRef/>
      </w:r>
      <w:r>
        <w:t xml:space="preserve"> </w:t>
      </w:r>
      <w:proofErr w:type="gramStart"/>
      <w:r>
        <w:t xml:space="preserve">OECD (2017), OECD (2017), Guidance to Assemble and Manage Multidisciplinary Teams for Extractive Contract Negotiations, OECD Development Policy Tools, OECD Publishing, </w:t>
      </w:r>
      <w:proofErr w:type="spellStart"/>
      <w:r>
        <w:t>Paris.http</w:t>
      </w:r>
      <w:proofErr w:type="spellEnd"/>
      <w:r>
        <w:t>://dx.doi.org/10.1787/9789264274914-en.</w:t>
      </w:r>
      <w:proofErr w:type="gramEnd"/>
    </w:p>
  </w:endnote>
  <w:endnote w:id="6">
    <w:p w:rsidR="009707FD" w:rsidRDefault="009707FD" w:rsidP="00C13B83">
      <w:pPr>
        <w:pStyle w:val="EndnoteText"/>
      </w:pPr>
      <w:r>
        <w:rPr>
          <w:rStyle w:val="EndnoteReference"/>
        </w:rPr>
        <w:endnoteRef/>
      </w:r>
      <w:r>
        <w:t xml:space="preserve"> OECD (2017), Guidance to Assemble and Manage Multidisciplinary Teams for Extractive Contract Negotiations, OECD Development Policy Tools, OECD Publishing, </w:t>
      </w:r>
      <w:proofErr w:type="spellStart"/>
      <w:proofErr w:type="gramStart"/>
      <w:r>
        <w:t>Paris.http</w:t>
      </w:r>
      <w:proofErr w:type="spellEnd"/>
      <w:proofErr w:type="gramEnd"/>
      <w:r>
        <w:t xml:space="preserve">://dx.doi.org/10.1787/9789264274914-en at 16 recommends </w:t>
      </w:r>
      <w:r w:rsidRPr="002E48B8">
        <w:rPr>
          <w:rFonts w:ascii="Times" w:eastAsia="MS Mincho" w:hAnsi="Times"/>
        </w:rPr>
        <w:t xml:space="preserve">host governments </w:t>
      </w:r>
      <w:r>
        <w:rPr>
          <w:rFonts w:ascii="Times" w:eastAsia="MS Mincho" w:hAnsi="Times"/>
        </w:rPr>
        <w:t xml:space="preserve">to </w:t>
      </w:r>
      <w:r w:rsidRPr="002E48B8">
        <w:rPr>
          <w:rFonts w:ascii="Times" w:eastAsia="MS Mincho" w:hAnsi="Times"/>
        </w:rPr>
        <w:t>conduct a thorough due diligence of the investor’s business history, operational model and strategic interests in the global industry</w:t>
      </w:r>
      <w:r>
        <w:t xml:space="preserve">. </w:t>
      </w:r>
    </w:p>
  </w:endnote>
  <w:endnote w:id="7">
    <w:p w:rsidR="009707FD" w:rsidRDefault="009707FD" w:rsidP="008475A4">
      <w:pPr>
        <w:pStyle w:val="EndnoteText"/>
      </w:pPr>
      <w:r>
        <w:rPr>
          <w:rStyle w:val="EndnoteReference"/>
        </w:rPr>
        <w:endnoteRef/>
      </w:r>
      <w:r>
        <w:t xml:space="preserve"> </w:t>
      </w:r>
      <w:r w:rsidRPr="005146C1">
        <w:rPr>
          <w:rStyle w:val="FootnoteTextChar"/>
        </w:rPr>
        <w:t xml:space="preserve">OECD (2017), </w:t>
      </w:r>
      <w:r w:rsidRPr="005146C1">
        <w:rPr>
          <w:rStyle w:val="FootnoteTextChar"/>
          <w:i/>
        </w:rPr>
        <w:t xml:space="preserve">OECD </w:t>
      </w:r>
      <w:proofErr w:type="gramStart"/>
      <w:r w:rsidRPr="005146C1">
        <w:rPr>
          <w:rStyle w:val="FootnoteTextChar"/>
          <w:i/>
        </w:rPr>
        <w:t>Due</w:t>
      </w:r>
      <w:proofErr w:type="gramEnd"/>
      <w:r w:rsidRPr="005146C1">
        <w:rPr>
          <w:rStyle w:val="FootnoteTextChar"/>
          <w:i/>
        </w:rPr>
        <w:t xml:space="preserve"> Diligence Guidance for Meaningful Stakeholder Engagement in the Extractive Sector</w:t>
      </w:r>
      <w:r w:rsidRPr="005146C1">
        <w:rPr>
          <w:rStyle w:val="FootnoteTextChar"/>
        </w:rPr>
        <w:t xml:space="preserve">, OECD Publishing, Paris. </w:t>
      </w:r>
      <w:hyperlink r:id="rId1" w:history="1">
        <w:r w:rsidRPr="00C338F4">
          <w:rPr>
            <w:rStyle w:val="Hyperlink"/>
          </w:rPr>
          <w:t>http://dx.doi.org/10.1787/9789264252462-en</w:t>
        </w:r>
      </w:hyperlink>
      <w:r>
        <w:rPr>
          <w:rStyle w:val="FootnoteTextChar"/>
        </w:rPr>
        <w:t>, p</w:t>
      </w:r>
      <w:r w:rsidRPr="005146C1">
        <w:rPr>
          <w:rStyle w:val="FootnoteTextChar"/>
        </w:rPr>
        <w:t>.</w:t>
      </w:r>
      <w:r>
        <w:rPr>
          <w:rStyle w:val="FootnoteTextChar"/>
        </w:rPr>
        <w:t xml:space="preserve"> 74: “</w:t>
      </w:r>
      <w:r w:rsidRPr="005146C1">
        <w:rPr>
          <w:rStyle w:val="FootnoteTextChar"/>
        </w:rPr>
        <w:t xml:space="preserve">This is a particularly salient problem for exploration enterprises, which may be understood to be operational </w:t>
      </w:r>
      <w:r>
        <w:rPr>
          <w:rStyle w:val="FootnoteTextChar"/>
        </w:rPr>
        <w:t>[</w:t>
      </w:r>
      <w:r w:rsidRPr="005146C1">
        <w:rPr>
          <w:rStyle w:val="FootnoteTextChar"/>
        </w:rPr>
        <w:t>mining</w:t>
      </w:r>
      <w:r>
        <w:rPr>
          <w:rStyle w:val="FootnoteTextChar"/>
        </w:rPr>
        <w:t>]</w:t>
      </w:r>
      <w:r w:rsidRPr="005146C1">
        <w:rPr>
          <w:rStyle w:val="FootnoteTextChar"/>
        </w:rPr>
        <w:t xml:space="preserve"> enterprises although they may lack the same resources and generally do not discover commercially viable deposits</w:t>
      </w:r>
      <w:r>
        <w:rPr>
          <w:rStyle w:val="FootnoteTextChar"/>
        </w:rPr>
        <w:t>”</w:t>
      </w:r>
      <w:r w:rsidRPr="005146C1">
        <w:rPr>
          <w:rStyle w:val="FootnoteTextChar"/>
        </w:rPr>
        <w:t>.</w:t>
      </w:r>
      <w:r w:rsidRPr="005146C1">
        <w:rPr>
          <w:rStyle w:val="FootnoteTextChar"/>
          <w:rFonts w:eastAsia="MS Mincho"/>
        </w:rPr>
        <w:t xml:space="preserve"> </w:t>
      </w:r>
      <w:r>
        <w:rPr>
          <w:rStyle w:val="FootnoteTextChar"/>
          <w:rFonts w:eastAsia="MS Mincho"/>
        </w:rPr>
        <w:t>To respond to this challenge, t</w:t>
      </w:r>
      <w:r>
        <w:rPr>
          <w:rStyle w:val="FootnoteTextChar"/>
        </w:rPr>
        <w:t xml:space="preserve">he </w:t>
      </w:r>
      <w:r w:rsidRPr="005146C1">
        <w:rPr>
          <w:rStyle w:val="FootnoteTextChar"/>
          <w:i/>
        </w:rPr>
        <w:t>OECD Due Diligence Guidance</w:t>
      </w:r>
      <w:r>
        <w:rPr>
          <w:rStyle w:val="FootnoteTextChar"/>
        </w:rPr>
        <w:t xml:space="preserve"> </w:t>
      </w:r>
      <w:r w:rsidRPr="005146C1">
        <w:rPr>
          <w:rStyle w:val="FootnoteTextChar"/>
        </w:rPr>
        <w:t xml:space="preserve">encourage stakeholders </w:t>
      </w:r>
      <w:r>
        <w:rPr>
          <w:rStyle w:val="FootnoteTextChar"/>
        </w:rPr>
        <w:t>t</w:t>
      </w:r>
      <w:r w:rsidRPr="005146C1">
        <w:rPr>
          <w:rStyle w:val="FootnoteTextChar"/>
        </w:rPr>
        <w:t xml:space="preserve">hroughout engagement </w:t>
      </w:r>
      <w:r>
        <w:rPr>
          <w:rStyle w:val="FootnoteTextChar"/>
        </w:rPr>
        <w:t>“</w:t>
      </w:r>
      <w:r w:rsidRPr="005146C1">
        <w:rPr>
          <w:rStyle w:val="FootnoteTextChar"/>
        </w:rPr>
        <w:t>to share their expectations and likewise share expectations of the enterprise regarding the operation to identify any misalignment and to ensure that all sides understand one another’s positions. Transparency regarding the operation and commitments can also be helpful in managing expectations. For example, disclosing contracts and reporting revenues and tax payments can help to provide stakeholders with a realistic understanding of the operation. Provide needed support for stakeholders to understand the operational realities of the project.</w:t>
      </w:r>
      <w:r>
        <w:rPr>
          <w:rStyle w:val="FootnoteTextChar"/>
        </w:rPr>
        <w:t>”</w:t>
      </w:r>
      <w:r w:rsidRPr="005146C1">
        <w:rPr>
          <w:rStyle w:val="FootnoteTextChar"/>
        </w:rPr>
        <w:t xml:space="preserve"> </w:t>
      </w:r>
    </w:p>
  </w:endnote>
  <w:endnote w:id="8">
    <w:p w:rsidR="009707FD" w:rsidRDefault="009707FD" w:rsidP="008475A4">
      <w:pPr>
        <w:pStyle w:val="EndnoteText"/>
      </w:pPr>
      <w:r>
        <w:rPr>
          <w:rStyle w:val="EndnoteReference"/>
        </w:rPr>
        <w:endnoteRef/>
      </w:r>
      <w:r>
        <w:t xml:space="preserve"> “Irrespective of regulatory or operational requirements, throughout their project planning enterprises should anticipate that indigenous peoples may expect consultation seeking FPIC and that risks may be generated if such expectations are not met. </w:t>
      </w:r>
      <w:r w:rsidRPr="00E25D0F">
        <w:t xml:space="preserve">In countries where FPIC is not mandated, enterprises should consider local expectations, the risks posed to indigenous peoples6 and </w:t>
      </w:r>
      <w:r>
        <w:t xml:space="preserve">operations as result of local opposition. They should pursue an engagement strategy that meets the legitimate expectations of indigenous peoples to the extent that it does not place them in violation of domestic law”. </w:t>
      </w:r>
      <w:r w:rsidRPr="005B1DA7">
        <w:t xml:space="preserve">OECD (2017), </w:t>
      </w:r>
      <w:r w:rsidRPr="005B1DA7">
        <w:rPr>
          <w:i/>
          <w:iCs/>
        </w:rPr>
        <w:t xml:space="preserve">OECD </w:t>
      </w:r>
      <w:proofErr w:type="gramStart"/>
      <w:r w:rsidRPr="005B1DA7">
        <w:rPr>
          <w:i/>
          <w:iCs/>
        </w:rPr>
        <w:t>Due</w:t>
      </w:r>
      <w:proofErr w:type="gramEnd"/>
      <w:r w:rsidRPr="005B1DA7">
        <w:rPr>
          <w:i/>
          <w:iCs/>
        </w:rPr>
        <w:t xml:space="preserve"> Diligence Guidance for Meaningful Stakeholder Engagement in the Extractive Sector</w:t>
      </w:r>
      <w:r w:rsidRPr="005B1DA7">
        <w:t xml:space="preserve">, OECD Publishing, Paris. </w:t>
      </w:r>
      <w:hyperlink r:id="rId2" w:history="1">
        <w:proofErr w:type="gramStart"/>
        <w:r w:rsidRPr="00C338F4">
          <w:rPr>
            <w:rStyle w:val="Hyperlink"/>
            <w:i/>
            <w:iCs/>
          </w:rPr>
          <w:t>http://dx.doi.org/10.1787/9789264252462-en</w:t>
        </w:r>
      </w:hyperlink>
      <w:r>
        <w:t xml:space="preserve">, </w:t>
      </w:r>
      <w:r w:rsidRPr="000C68E7">
        <w:t>pp.96-97)</w:t>
      </w:r>
      <w:r>
        <w:t>.</w:t>
      </w:r>
      <w:proofErr w:type="gramEnd"/>
    </w:p>
  </w:endnote>
  <w:endnote w:id="9">
    <w:p w:rsidR="009707FD" w:rsidRDefault="009707FD" w:rsidP="008475A4">
      <w:pPr>
        <w:pStyle w:val="EndnoteText"/>
      </w:pPr>
      <w:r>
        <w:rPr>
          <w:rStyle w:val="EndnoteReference"/>
        </w:rPr>
        <w:endnoteRef/>
      </w:r>
      <w:r>
        <w:t xml:space="preserve"> The </w:t>
      </w:r>
      <w:r w:rsidRPr="00EA33E7">
        <w:t xml:space="preserve">level of expectations for benefits </w:t>
      </w:r>
      <w:r>
        <w:t>should be in keeping with the specific characteristics of the project</w:t>
      </w:r>
      <w:r w:rsidRPr="00EA33E7">
        <w:t>.</w:t>
      </w:r>
    </w:p>
  </w:endnote>
  <w:endnote w:id="10">
    <w:p w:rsidR="009707FD" w:rsidRPr="005B150B" w:rsidRDefault="009707FD" w:rsidP="008475A4">
      <w:pPr>
        <w:pStyle w:val="EndnoteText"/>
      </w:pPr>
      <w:r>
        <w:rPr>
          <w:rStyle w:val="EndnoteReference"/>
        </w:rPr>
        <w:endnoteRef/>
      </w:r>
      <w:r>
        <w:t xml:space="preserve"> </w:t>
      </w:r>
      <w:r w:rsidRPr="005B1DA7">
        <w:t xml:space="preserve">OECD (2017), </w:t>
      </w:r>
      <w:r w:rsidRPr="005B1DA7">
        <w:rPr>
          <w:i/>
          <w:iCs/>
        </w:rPr>
        <w:t xml:space="preserve">OECD </w:t>
      </w:r>
      <w:proofErr w:type="gramStart"/>
      <w:r>
        <w:rPr>
          <w:i/>
          <w:iCs/>
        </w:rPr>
        <w:t>D</w:t>
      </w:r>
      <w:r w:rsidRPr="005B1DA7">
        <w:rPr>
          <w:i/>
          <w:iCs/>
        </w:rPr>
        <w:t>ue</w:t>
      </w:r>
      <w:proofErr w:type="gramEnd"/>
      <w:r w:rsidRPr="005B1DA7">
        <w:rPr>
          <w:i/>
          <w:iCs/>
        </w:rPr>
        <w:t xml:space="preserve"> Diligence Guidance for Meaningful Stakeholder Engagement in the Extractive Sector</w:t>
      </w:r>
      <w:r w:rsidRPr="005B1DA7">
        <w:t xml:space="preserve">, OECD Publishing, Paris. </w:t>
      </w:r>
      <w:hyperlink r:id="rId3" w:history="1">
        <w:r w:rsidRPr="00C338F4">
          <w:rPr>
            <w:rStyle w:val="Hyperlink"/>
            <w:i/>
            <w:iCs/>
          </w:rPr>
          <w:t>http://dx.doi.org/10.1787/9789264252462-en</w:t>
        </w:r>
      </w:hyperlink>
      <w:r>
        <w:t xml:space="preserve">. For detailed guidance on stakeholder engagement and how to develop effective community engagement plans, with particular attention to indigenous groups, see: United Nations, </w:t>
      </w:r>
      <w:r w:rsidRPr="00A75D34">
        <w:rPr>
          <w:i/>
          <w:lang w:val="en"/>
        </w:rPr>
        <w:t>Principles for responsible contracts: Integrating the management of human rights risks into State–investor contract negotiations – Guidance for negotiators</w:t>
      </w:r>
      <w:r w:rsidRPr="00A75D34">
        <w:rPr>
          <w:lang w:val="en"/>
        </w:rPr>
        <w:t xml:space="preserve"> (A/HRC/17/31/Add.3), United Nations publication, Sales No. 13.XIV.5</w:t>
      </w:r>
      <w:r>
        <w:rPr>
          <w:lang w:val="en"/>
        </w:rPr>
        <w:t xml:space="preserve">, Principle 7; IFC, </w:t>
      </w:r>
      <w:r w:rsidRPr="00175191">
        <w:rPr>
          <w:i/>
          <w:lang w:val="en"/>
        </w:rPr>
        <w:t>Performance Standard</w:t>
      </w:r>
      <w:r>
        <w:rPr>
          <w:i/>
          <w:lang w:val="en"/>
        </w:rPr>
        <w:t>s</w:t>
      </w:r>
      <w:r w:rsidRPr="00175191">
        <w:rPr>
          <w:i/>
          <w:lang w:val="en"/>
        </w:rPr>
        <w:t xml:space="preserve"> 1</w:t>
      </w:r>
      <w:r>
        <w:rPr>
          <w:i/>
          <w:lang w:val="en"/>
        </w:rPr>
        <w:t xml:space="preserve"> and 7</w:t>
      </w:r>
      <w:r>
        <w:rPr>
          <w:i/>
          <w:iCs/>
        </w:rPr>
        <w:t>.</w:t>
      </w:r>
    </w:p>
  </w:endnote>
  <w:endnote w:id="11">
    <w:p w:rsidR="009707FD" w:rsidRDefault="009707FD" w:rsidP="008475A4">
      <w:pPr>
        <w:pStyle w:val="EndnoteText"/>
      </w:pPr>
      <w:r>
        <w:rPr>
          <w:rStyle w:val="EndnoteReference"/>
        </w:rPr>
        <w:endnoteRef/>
      </w:r>
      <w:r>
        <w:t xml:space="preserve"> </w:t>
      </w:r>
      <w:r w:rsidRPr="00A42CE6">
        <w:t xml:space="preserve">Through community development agreements or other </w:t>
      </w:r>
      <w:r>
        <w:t xml:space="preserve">suitable </w:t>
      </w:r>
      <w:r w:rsidRPr="00A42CE6">
        <w:t>means, investors</w:t>
      </w:r>
      <w:r>
        <w:t xml:space="preserve">, </w:t>
      </w:r>
      <w:r w:rsidRPr="00A42CE6">
        <w:t xml:space="preserve">the community </w:t>
      </w:r>
      <w:r>
        <w:t xml:space="preserve">and the </w:t>
      </w:r>
      <w:r w:rsidRPr="00A42CE6">
        <w:t>government</w:t>
      </w:r>
      <w:r>
        <w:t xml:space="preserve"> (central and local) should work together to identify </w:t>
      </w:r>
      <w:r w:rsidRPr="00A42CE6">
        <w:t xml:space="preserve">where </w:t>
      </w:r>
      <w:r>
        <w:t>the project</w:t>
      </w:r>
      <w:r w:rsidRPr="00A42CE6">
        <w:t xml:space="preserve"> can make positive contributions to the social and economic development of the local community. The </w:t>
      </w:r>
      <w:r w:rsidRPr="00A42CE6">
        <w:rPr>
          <w:i/>
        </w:rPr>
        <w:t>OECD Framework on Collaborative Strategies for In-Country Shared Value Creation</w:t>
      </w:r>
      <w:r w:rsidRPr="00A42CE6">
        <w:t xml:space="preserve"> provides practical guidance on how opportunities for local employment, procurement and shared use of infrastructure can be identified, articulating the respective roles </w:t>
      </w:r>
      <w:r>
        <w:t xml:space="preserve">and responsibilities </w:t>
      </w:r>
      <w:r w:rsidRPr="00A42CE6">
        <w:t>of governments, investors and civil society.</w:t>
      </w:r>
    </w:p>
  </w:endnote>
  <w:endnote w:id="12">
    <w:p w:rsidR="009707FD" w:rsidRDefault="009707FD" w:rsidP="008475A4">
      <w:pPr>
        <w:pStyle w:val="EndnoteText"/>
      </w:pPr>
      <w:r>
        <w:rPr>
          <w:rStyle w:val="EndnoteReference"/>
        </w:rPr>
        <w:endnoteRef/>
      </w:r>
      <w:r>
        <w:t xml:space="preserve"> </w:t>
      </w:r>
      <w:r w:rsidRPr="00C165F7">
        <w:rPr>
          <w:color w:val="000000"/>
        </w:rPr>
        <w:t>Leveraging demand for goods and services, and infrastructure built for projects and that would not have been constructed or expanded if the project did not exist and without which the project would not be viable should not be confused with the different scenario in which investors may be required to provide services that are unrelated to their business venture, their project objectives and their expertise.</w:t>
      </w:r>
      <w:r w:rsidRPr="001651D8">
        <w:rPr>
          <w:sz w:val="18"/>
          <w:szCs w:val="18"/>
        </w:rPr>
        <w:t xml:space="preserve"> </w:t>
      </w:r>
    </w:p>
  </w:endnote>
  <w:endnote w:id="13">
    <w:p w:rsidR="009707FD" w:rsidRPr="002D335C" w:rsidRDefault="009707FD" w:rsidP="008475A4">
      <w:pPr>
        <w:pStyle w:val="EndnoteText"/>
        <w:rPr>
          <w:color w:val="000000"/>
        </w:rPr>
      </w:pPr>
      <w:r>
        <w:rPr>
          <w:rStyle w:val="EndnoteReference"/>
        </w:rPr>
        <w:endnoteRef/>
      </w:r>
      <w:r>
        <w:t xml:space="preserve"> See </w:t>
      </w:r>
      <w:r w:rsidRPr="007D0D97">
        <w:rPr>
          <w:i/>
          <w:color w:val="000000"/>
        </w:rPr>
        <w:t>IFC Performance Standards 1, Stakeholder engagement, Disclosure of Information</w:t>
      </w:r>
      <w:r>
        <w:rPr>
          <w:color w:val="000000"/>
        </w:rPr>
        <w:t xml:space="preserve"> at para. 29: “</w:t>
      </w:r>
      <w:r w:rsidRPr="002D335C">
        <w:rPr>
          <w:color w:val="000000"/>
        </w:rPr>
        <w:t xml:space="preserve">Disclosure of relevant project information helps Affected Communities and other stakeholders understand the risks, impacts and opportunities of the project. The client will provide Affected Communities with access to relevant information on: (i) the purpose, nature, and scale of the project; (ii) the duration of proposed project activities; (iii) any risks to and potential impacts on such communities and relevant mitigation measures; </w:t>
      </w:r>
      <w:proofErr w:type="gramStart"/>
      <w:r w:rsidRPr="002D335C">
        <w:rPr>
          <w:color w:val="000000"/>
        </w:rPr>
        <w:t>(iv) the</w:t>
      </w:r>
      <w:proofErr w:type="gramEnd"/>
      <w:r w:rsidRPr="002D335C">
        <w:rPr>
          <w:color w:val="000000"/>
        </w:rPr>
        <w:t xml:space="preserve"> envisaged stakeholder engagement process; and (v) the grievance mechanism</w:t>
      </w:r>
      <w:r>
        <w:rPr>
          <w:color w:val="000000"/>
        </w:rPr>
        <w:t>”</w:t>
      </w:r>
      <w:r w:rsidRPr="002D335C">
        <w:rPr>
          <w:color w:val="000000"/>
        </w:rPr>
        <w:t>.</w:t>
      </w:r>
      <w:r>
        <w:rPr>
          <w:color w:val="000000"/>
        </w:rPr>
        <w:t xml:space="preserve"> Relevant information is defined as follows: </w:t>
      </w:r>
      <w:r w:rsidRPr="002D335C">
        <w:rPr>
          <w:color w:val="000000"/>
        </w:rPr>
        <w:t>Depending on the scale of the project and significance of the risks and impacts, relevant document(s) could range from full Environmental and Social Assessments and Action Plans (i.e., Stakeholder Engagement Plan, Resettlement Action Plans, Biodiversity Action Plans, Hazardous Materials Management Plans, Emergency Preparedness and Response Plans, Community Health and Safety Plans, Ecosystem Restoration Plans, and Indigenous Peoples Development Plans, etc.) to easy-to-understand summaries of key issues and commitments. These documents could also include the client’s environmental and social policy and any supplemental measures and actions defined as a result of independent due diligence conducted by financiers.</w:t>
      </w:r>
    </w:p>
  </w:endnote>
  <w:endnote w:id="14">
    <w:p w:rsidR="009707FD" w:rsidRDefault="009707FD" w:rsidP="008475A4">
      <w:pPr>
        <w:pStyle w:val="EndnoteText"/>
      </w:pPr>
      <w:r>
        <w:rPr>
          <w:rStyle w:val="EndnoteReference"/>
        </w:rPr>
        <w:endnoteRef/>
      </w:r>
      <w:r>
        <w:t xml:space="preserve"> IFC Performance Standards 1, Stakeholder engagement, Consultation, at para 30: “When Affected Communities are subject to identified risks and adverse impacts from a project, the client will undertake a process of consultation in a manner that provides the Affected Communities with opportunities to express their views on project risks, impacts and mitigation measures, and allows the client to consider and respond to them. The extent and degree of engagement required by the consultation process should be commensurate with the project’s risks and adverse impacts and with the concerns raised by the Affected Communities. See also </w:t>
      </w:r>
      <w:r w:rsidRPr="005B1DA7">
        <w:rPr>
          <w:i/>
          <w:iCs/>
        </w:rPr>
        <w:t>OECD Due Diligence Guidance for Meaningful Stakeholder Engagement in the Extractive Sector</w:t>
      </w:r>
      <w:r>
        <w:t>, at p. 18:  “Stakeholders themselves can contribute important knowledge to help identify potential or actual impacts on themselves or their surroundings. The values and priorities of impacted stakeholders are vital considerations in evaluating impacts and identifying appropriate avoidance or mitigation steps”.</w:t>
      </w:r>
    </w:p>
  </w:endnote>
  <w:endnote w:id="15">
    <w:p w:rsidR="009707FD" w:rsidRDefault="009707FD" w:rsidP="008475A4">
      <w:pPr>
        <w:pStyle w:val="EndnoteText"/>
      </w:pPr>
      <w:r>
        <w:rPr>
          <w:rStyle w:val="EndnoteReference"/>
        </w:rPr>
        <w:endnoteRef/>
      </w:r>
      <w:r>
        <w:t xml:space="preserve"> </w:t>
      </w:r>
      <w:r w:rsidRPr="00AB520D">
        <w:t>Regardless of the requirements in law, meaningful stakeholder engagement is critical to avoiding some of the potential adverse impacts of extractive operations</w:t>
      </w:r>
    </w:p>
  </w:endnote>
  <w:endnote w:id="16">
    <w:p w:rsidR="009707FD" w:rsidRDefault="009707FD">
      <w:pPr>
        <w:pStyle w:val="EndnoteText"/>
      </w:pPr>
      <w:r>
        <w:rPr>
          <w:rStyle w:val="EndnoteReference"/>
        </w:rPr>
        <w:endnoteRef/>
      </w:r>
      <w:r>
        <w:t xml:space="preserve"> </w:t>
      </w:r>
      <w:r w:rsidRPr="005B1DA7">
        <w:t xml:space="preserve">OECD (2017), </w:t>
      </w:r>
      <w:r w:rsidRPr="005B1DA7">
        <w:rPr>
          <w:i/>
          <w:iCs/>
        </w:rPr>
        <w:t xml:space="preserve">OECD </w:t>
      </w:r>
      <w:proofErr w:type="gramStart"/>
      <w:r>
        <w:rPr>
          <w:i/>
          <w:iCs/>
        </w:rPr>
        <w:t>D</w:t>
      </w:r>
      <w:r w:rsidRPr="005B1DA7">
        <w:rPr>
          <w:i/>
          <w:iCs/>
        </w:rPr>
        <w:t>ue</w:t>
      </w:r>
      <w:proofErr w:type="gramEnd"/>
      <w:r w:rsidRPr="005B1DA7">
        <w:rPr>
          <w:i/>
          <w:iCs/>
        </w:rPr>
        <w:t xml:space="preserve"> Diligence Guidance for Meaningful Stakeholder Engagement in the Extractive Sector</w:t>
      </w:r>
      <w:r w:rsidRPr="005B1DA7">
        <w:t xml:space="preserve">, OECD Publishing, Paris. </w:t>
      </w:r>
      <w:hyperlink r:id="rId4" w:history="1">
        <w:r w:rsidRPr="00C338F4">
          <w:rPr>
            <w:rStyle w:val="Hyperlink"/>
            <w:i/>
            <w:iCs/>
          </w:rPr>
          <w:t>http://dx.doi.org/10.1787/9789264252462-en</w:t>
        </w:r>
      </w:hyperlink>
      <w:r>
        <w:t xml:space="preserve">; International Finance Corporation (IFC) (2007), </w:t>
      </w:r>
      <w:r w:rsidRPr="008F1145">
        <w:t>Stakeholder Engagement: A Good Practice Handbook for Companies Doing Business in Emerging Markets</w:t>
      </w:r>
      <w:r>
        <w:t xml:space="preserve">, Washington D.C., available at </w:t>
      </w:r>
      <w:hyperlink r:id="rId5" w:history="1">
        <w:r w:rsidRPr="007B3F4A">
          <w:rPr>
            <w:rStyle w:val="Hyperlink"/>
          </w:rPr>
          <w:t>http://www.ifc.org/wps/wcm/connect/938f1a0048855805beacfe6a6515bb18/IFC_StakeholderEngagement.pdf?MOD=AJPERES</w:t>
        </w:r>
      </w:hyperlink>
      <w:r>
        <w:t xml:space="preserve">. </w:t>
      </w:r>
    </w:p>
  </w:endnote>
  <w:endnote w:id="17">
    <w:p w:rsidR="009707FD" w:rsidRPr="00AB520D" w:rsidRDefault="009707FD" w:rsidP="008475A4">
      <w:pPr>
        <w:pStyle w:val="EndnoteText"/>
        <w:rPr>
          <w:color w:val="000000"/>
        </w:rPr>
      </w:pPr>
      <w:r>
        <w:rPr>
          <w:rStyle w:val="EndnoteReference"/>
        </w:rPr>
        <w:endnoteRef/>
      </w:r>
      <w:r>
        <w:t xml:space="preserve"> See </w:t>
      </w:r>
      <w:r w:rsidRPr="007D0D97">
        <w:rPr>
          <w:i/>
          <w:color w:val="000000"/>
        </w:rPr>
        <w:t xml:space="preserve">IFC </w:t>
      </w:r>
      <w:r>
        <w:rPr>
          <w:i/>
          <w:color w:val="000000"/>
        </w:rPr>
        <w:t>Performance Standards</w:t>
      </w:r>
      <w:r>
        <w:rPr>
          <w:color w:val="000000"/>
        </w:rPr>
        <w:t xml:space="preserve">; OECD </w:t>
      </w:r>
      <w:r w:rsidRPr="00565CF2">
        <w:t xml:space="preserve">(2011), </w:t>
      </w:r>
      <w:r w:rsidRPr="00565CF2">
        <w:rPr>
          <w:i/>
          <w:iCs/>
        </w:rPr>
        <w:t>OECD Guidelines for Multinational Enterprises</w:t>
      </w:r>
      <w:r w:rsidRPr="00565CF2">
        <w:t xml:space="preserve">, OECD Publishing. </w:t>
      </w:r>
      <w:hyperlink r:id="rId6" w:history="1">
        <w:r w:rsidRPr="008A1BE8">
          <w:rPr>
            <w:rStyle w:val="Hyperlink"/>
            <w:i/>
            <w:iCs/>
          </w:rPr>
          <w:t>http://dx.doi.org/10.1787/9789264115415-en</w:t>
        </w:r>
      </w:hyperlink>
      <w:r>
        <w:rPr>
          <w:color w:val="000000"/>
        </w:rPr>
        <w:t>, Chapter I General Policies, A Enterprises should: “[…] 10. c</w:t>
      </w:r>
      <w:r w:rsidRPr="005D62CB">
        <w:rPr>
          <w:color w:val="000000"/>
        </w:rPr>
        <w:t>arry out risk-based due diligence, for example by incorporating it into</w:t>
      </w:r>
      <w:r>
        <w:rPr>
          <w:color w:val="000000"/>
        </w:rPr>
        <w:t xml:space="preserve"> </w:t>
      </w:r>
      <w:r w:rsidRPr="005D62CB">
        <w:rPr>
          <w:color w:val="000000"/>
        </w:rPr>
        <w:t>their enterprise risk management systems, to identify, prevent and</w:t>
      </w:r>
      <w:r>
        <w:rPr>
          <w:color w:val="000000"/>
        </w:rPr>
        <w:t xml:space="preserve"> </w:t>
      </w:r>
      <w:r w:rsidRPr="005D62CB">
        <w:rPr>
          <w:color w:val="000000"/>
        </w:rPr>
        <w:t>mitigate actual and potential adverse impacts as described in paragraphs</w:t>
      </w:r>
      <w:r>
        <w:rPr>
          <w:color w:val="000000"/>
        </w:rPr>
        <w:t xml:space="preserve"> </w:t>
      </w:r>
      <w:r w:rsidRPr="005D62CB">
        <w:rPr>
          <w:color w:val="000000"/>
        </w:rPr>
        <w:t>11 and 12, and account for how these impacts are addressed. The nature</w:t>
      </w:r>
      <w:r>
        <w:rPr>
          <w:color w:val="000000"/>
        </w:rPr>
        <w:t xml:space="preserve"> </w:t>
      </w:r>
      <w:r w:rsidRPr="005D62CB">
        <w:rPr>
          <w:color w:val="000000"/>
        </w:rPr>
        <w:t>and extent of due diligence depend on the circumstances of a particular</w:t>
      </w:r>
      <w:r>
        <w:rPr>
          <w:color w:val="000000"/>
        </w:rPr>
        <w:t xml:space="preserve"> </w:t>
      </w:r>
      <w:r w:rsidRPr="005D62CB">
        <w:rPr>
          <w:color w:val="000000"/>
        </w:rPr>
        <w:t>situation.</w:t>
      </w:r>
      <w:r>
        <w:rPr>
          <w:color w:val="000000"/>
        </w:rPr>
        <w:t xml:space="preserve"> 11: </w:t>
      </w:r>
      <w:r w:rsidRPr="005D62CB">
        <w:rPr>
          <w:color w:val="000000"/>
        </w:rPr>
        <w:t>Avoid causing or contributing to adverse impacts on matters covered by</w:t>
      </w:r>
      <w:r>
        <w:rPr>
          <w:color w:val="000000"/>
        </w:rPr>
        <w:t xml:space="preserve"> </w:t>
      </w:r>
      <w:r w:rsidRPr="005D62CB">
        <w:rPr>
          <w:color w:val="000000"/>
        </w:rPr>
        <w:t>the Guidelines, through their own activities, and address such impacts</w:t>
      </w:r>
      <w:r>
        <w:rPr>
          <w:color w:val="000000"/>
        </w:rPr>
        <w:t xml:space="preserve"> </w:t>
      </w:r>
      <w:r w:rsidRPr="005D62CB">
        <w:rPr>
          <w:color w:val="000000"/>
        </w:rPr>
        <w:t>when they occur</w:t>
      </w:r>
      <w:r>
        <w:rPr>
          <w:color w:val="000000"/>
        </w:rPr>
        <w:t>”</w:t>
      </w:r>
      <w:r w:rsidRPr="005D62CB">
        <w:rPr>
          <w:color w:val="000000"/>
        </w:rPr>
        <w:t>.</w:t>
      </w:r>
      <w:r>
        <w:rPr>
          <w:color w:val="000000"/>
        </w:rPr>
        <w:t xml:space="preserve"> Consistent with the </w:t>
      </w:r>
      <w:r w:rsidRPr="001A1651">
        <w:rPr>
          <w:i/>
          <w:color w:val="000000"/>
        </w:rPr>
        <w:t>OECD Guidelines for Multinational Enterprises</w:t>
      </w:r>
      <w:r>
        <w:rPr>
          <w:color w:val="000000"/>
        </w:rPr>
        <w:t xml:space="preserve">, the </w:t>
      </w:r>
      <w:r w:rsidRPr="005B1DA7">
        <w:rPr>
          <w:i/>
          <w:iCs/>
        </w:rPr>
        <w:t>OECD Due Diligence Guidance for Meaningful Stakeholder Engagement in the Extractive Sector</w:t>
      </w:r>
      <w:r>
        <w:rPr>
          <w:rFonts w:ascii="Caecilia-Roman" w:hAnsi="Caecilia-Roman" w:cs="Caecilia-Roman"/>
          <w:sz w:val="17"/>
          <w:szCs w:val="17"/>
        </w:rPr>
        <w:t xml:space="preserve"> </w:t>
      </w:r>
      <w:r w:rsidRPr="00AB520D">
        <w:rPr>
          <w:color w:val="000000"/>
        </w:rPr>
        <w:t xml:space="preserve">proposes provides recommendations </w:t>
      </w:r>
      <w:r>
        <w:rPr>
          <w:color w:val="000000"/>
        </w:rPr>
        <w:t>to enterprises on applying the</w:t>
      </w:r>
      <w:r w:rsidRPr="00AB520D">
        <w:rPr>
          <w:color w:val="000000"/>
        </w:rPr>
        <w:t xml:space="preserve"> due diligence framework for meaningful stakeholder engagement to identify and manage risks to stakeholders impacted by extractive sector operations and specifically to indigenous peoples, women, workers and artisanal and small-scale miners</w:t>
      </w:r>
      <w:r>
        <w:rPr>
          <w:color w:val="000000"/>
        </w:rPr>
        <w:t>.</w:t>
      </w:r>
    </w:p>
  </w:endnote>
  <w:endnote w:id="18">
    <w:p w:rsidR="009707FD" w:rsidRDefault="009707FD" w:rsidP="008475A4">
      <w:pPr>
        <w:pStyle w:val="EndnoteText"/>
      </w:pPr>
      <w:r>
        <w:rPr>
          <w:rStyle w:val="EndnoteReference"/>
        </w:rPr>
        <w:endnoteRef/>
      </w:r>
      <w:r>
        <w:t xml:space="preserve">United Nations, Office of the High Commissioner on Human Rights, </w:t>
      </w:r>
      <w:r w:rsidRPr="00A75D34">
        <w:rPr>
          <w:i/>
          <w:lang w:val="en"/>
        </w:rPr>
        <w:t>Principles for responsible contracts: Integrating the management of human rights risks into State–investor contract negotiations – Guidance for negotiators</w:t>
      </w:r>
      <w:r w:rsidRPr="00A75D34">
        <w:rPr>
          <w:lang w:val="en"/>
        </w:rPr>
        <w:t xml:space="preserve"> (A/HRC/17/31/Add.3), United Nations publication, Sales No. 13.XIV.5</w:t>
      </w:r>
      <w:r>
        <w:rPr>
          <w:lang w:val="en"/>
        </w:rPr>
        <w:t>, Principle 2, at p. 14: “</w:t>
      </w:r>
      <w:r>
        <w:t>If the State currently lacks monitoring capacity [for verifying compliance with the full range of referenced standards], the contract should provide for alternatives, at least temporarily, such as self-reporting or external credible verification”.</w:t>
      </w:r>
    </w:p>
  </w:endnote>
  <w:endnote w:id="19">
    <w:p w:rsidR="009707FD" w:rsidRDefault="009707FD" w:rsidP="00C53E8B">
      <w:pPr>
        <w:pStyle w:val="EndnoteText"/>
      </w:pPr>
      <w:r>
        <w:rPr>
          <w:rStyle w:val="EndnoteReference"/>
        </w:rPr>
        <w:endnoteRef/>
      </w:r>
      <w:r>
        <w:t xml:space="preserve"> United Nations, Office of the High Commissioner on Human Rights, </w:t>
      </w:r>
      <w:r w:rsidRPr="00A75D34">
        <w:rPr>
          <w:i/>
          <w:lang w:val="en"/>
        </w:rPr>
        <w:t>Principles for responsible contracts: Integrating the management of human rights risks into State–investor contract negotiations – Guidance for negotiators</w:t>
      </w:r>
      <w:r w:rsidRPr="00A75D34">
        <w:rPr>
          <w:lang w:val="en"/>
        </w:rPr>
        <w:t xml:space="preserve"> (A/HRC/17/31/Add.3), United Nations publication, Sales No. 13.XIV.5</w:t>
      </w:r>
      <w:r>
        <w:rPr>
          <w:lang w:val="en"/>
        </w:rPr>
        <w:t xml:space="preserve">, Principle 2, at pp. 11-12. </w:t>
      </w:r>
    </w:p>
  </w:endnote>
  <w:endnote w:id="20">
    <w:p w:rsidR="009707FD" w:rsidRPr="004C191A" w:rsidRDefault="009707FD" w:rsidP="008475A4">
      <w:pPr>
        <w:pStyle w:val="EndnoteText"/>
      </w:pPr>
      <w:r>
        <w:rPr>
          <w:rStyle w:val="EndnoteReference"/>
        </w:rPr>
        <w:endnoteRef/>
      </w:r>
      <w:r>
        <w:t xml:space="preserve"> </w:t>
      </w:r>
      <w:proofErr w:type="gramStart"/>
      <w:r>
        <w:t>OECD (2015), Policy Framework for Investment 2015 Edition, OECD Publishing, Paris.</w:t>
      </w:r>
      <w:proofErr w:type="gramEnd"/>
      <w:r>
        <w:t xml:space="preserve"> </w:t>
      </w:r>
      <w:hyperlink r:id="rId7" w:history="1">
        <w:r w:rsidRPr="00270602">
          <w:rPr>
            <w:rStyle w:val="Hyperlink"/>
          </w:rPr>
          <w:t>http://dx.doi.org/10.1787/9789264208667-en</w:t>
        </w:r>
      </w:hyperlink>
      <w:r>
        <w:t xml:space="preserve">. </w:t>
      </w:r>
      <w:r w:rsidRPr="004C191A">
        <w:t xml:space="preserve">The </w:t>
      </w:r>
      <w:r w:rsidRPr="004C191A">
        <w:rPr>
          <w:i/>
        </w:rPr>
        <w:t>Framework</w:t>
      </w:r>
      <w:r w:rsidRPr="004C191A">
        <w:t xml:space="preserve"> is a tool, providing a checklist of key policy issues for consideration by any government interested in creating an enabling environment for all types of investment and in enhancing the development benefits of investment to society. The </w:t>
      </w:r>
      <w:r w:rsidRPr="00536034">
        <w:rPr>
          <w:i/>
        </w:rPr>
        <w:t>Framework</w:t>
      </w:r>
      <w:r>
        <w:t xml:space="preserve"> </w:t>
      </w:r>
      <w:r w:rsidRPr="004C191A">
        <w:t>looks at 12 different policy areas affecting investment: investment policy; investment promotion and facilitation; competition; trade; taxation; corporate governance; finance; infrastructure; policies to promote responsible business conduct and investment in support of green growth; and lastly broader issues of public governance. These areas affect the investment climate through various channels, influencing the risks, returns and costs faced</w:t>
      </w:r>
      <w:r>
        <w:t xml:space="preserve"> by investors. But while the </w:t>
      </w:r>
      <w:r w:rsidRPr="00536034">
        <w:rPr>
          <w:i/>
        </w:rPr>
        <w:t>Framework</w:t>
      </w:r>
      <w:r w:rsidRPr="004C191A">
        <w:t xml:space="preserve"> looks at policies from an investor perspective, its aim is to maximise the broader development impact from investment and not simply to raise corporate profitability.</w:t>
      </w:r>
    </w:p>
  </w:endnote>
  <w:endnote w:id="21">
    <w:p w:rsidR="009707FD" w:rsidRDefault="009707FD" w:rsidP="008475A4">
      <w:pPr>
        <w:pStyle w:val="EndnoteText"/>
      </w:pPr>
      <w:r>
        <w:rPr>
          <w:rStyle w:val="EndnoteReference"/>
        </w:rPr>
        <w:endnoteRef/>
      </w:r>
      <w:r>
        <w:t xml:space="preserve"> </w:t>
      </w:r>
      <w:proofErr w:type="gramStart"/>
      <w:r>
        <w:t>OECD (2015), Policy Framework for Investment 2015 Edition, OECD Publishing, Paris.</w:t>
      </w:r>
      <w:proofErr w:type="gramEnd"/>
      <w:r>
        <w:t xml:space="preserve"> </w:t>
      </w:r>
      <w:hyperlink r:id="rId8" w:history="1">
        <w:r w:rsidRPr="00270602">
          <w:rPr>
            <w:rStyle w:val="Hyperlink"/>
          </w:rPr>
          <w:t>http://dx.doi.org/10.1787/9789264208667-en</w:t>
        </w:r>
      </w:hyperlink>
      <w:r>
        <w:t xml:space="preserve"> , p. 23: “Uncertainty about the enforceability of lawful rights and obligations raises the cost of capital.”</w:t>
      </w:r>
    </w:p>
  </w:endnote>
  <w:endnote w:id="22">
    <w:p w:rsidR="009707FD" w:rsidRDefault="009707FD" w:rsidP="008475A4">
      <w:pPr>
        <w:pStyle w:val="EndnoteText"/>
      </w:pPr>
      <w:r>
        <w:rPr>
          <w:rStyle w:val="EndnoteReference"/>
        </w:rPr>
        <w:endnoteRef/>
      </w:r>
      <w:r>
        <w:t xml:space="preserve"> </w:t>
      </w:r>
      <w:proofErr w:type="gramStart"/>
      <w:r>
        <w:t>OECD (2015), Policy Framework for Investment 2015 Edition, OECD Publishing, Paris.</w:t>
      </w:r>
      <w:proofErr w:type="gramEnd"/>
      <w:r>
        <w:t xml:space="preserve"> </w:t>
      </w:r>
      <w:hyperlink r:id="rId9" w:history="1">
        <w:r w:rsidRPr="00270602">
          <w:rPr>
            <w:rStyle w:val="Hyperlink"/>
          </w:rPr>
          <w:t>http://dx.doi.org/10.1787/9789264208667-en</w:t>
        </w:r>
      </w:hyperlink>
      <w:r>
        <w:t xml:space="preserve"> , pp. 25-26: “</w:t>
      </w:r>
      <w:r w:rsidRPr="00246377">
        <w:t>Investors need to be confident that their land rights are properly recognised and protected and that they are protected against forced evictions without compensation.</w:t>
      </w:r>
      <w:r>
        <w:t xml:space="preserve"> […] In order to provide for secure land tenure rights, the land administration should be accessible, reliable and transparent. The responsibilities of the central government versus local authorities should be clearly defined to promote efficiency, reduce corruption, and enhance law implementation and enforcement.</w:t>
      </w:r>
      <w:r w:rsidRPr="00246377">
        <w:t xml:space="preserve"> </w:t>
      </w:r>
      <w:r>
        <w:t xml:space="preserve">[…] </w:t>
      </w:r>
      <w:r w:rsidRPr="00246377">
        <w:t>The land administration should actively contribute to land use planning in order to ensure sustainable investment and balanced territorial development and help reconcile the different objectives of land use. Land use plans should be developed at all government levels and updated regularly through wide public participation to minimise the risks of land disputes and to ensure that the priorities and interests of local communities are reflected</w:t>
      </w:r>
      <w:r>
        <w:t>”</w:t>
      </w:r>
      <w:r w:rsidRPr="00246377">
        <w:t>.</w:t>
      </w:r>
    </w:p>
  </w:endnote>
  <w:endnote w:id="23">
    <w:p w:rsidR="009707FD" w:rsidRDefault="009707FD" w:rsidP="008475A4">
      <w:pPr>
        <w:pStyle w:val="EndnoteText"/>
      </w:pPr>
      <w:r>
        <w:rPr>
          <w:rStyle w:val="EndnoteReference"/>
        </w:rPr>
        <w:endnoteRef/>
      </w:r>
      <w:r>
        <w:t xml:space="preserve"> </w:t>
      </w:r>
      <w:proofErr w:type="gramStart"/>
      <w:r>
        <w:t>OECD (2015), Policy Framework for Investment 2015 Edition, OECD Publishing, Paris.</w:t>
      </w:r>
      <w:proofErr w:type="gramEnd"/>
      <w:r>
        <w:t xml:space="preserve"> </w:t>
      </w:r>
      <w:hyperlink r:id="rId10" w:history="1">
        <w:r w:rsidRPr="00270602">
          <w:rPr>
            <w:rStyle w:val="Hyperlink"/>
          </w:rPr>
          <w:t>http://dx.doi.org/10.1787/9789264208667-en</w:t>
        </w:r>
      </w:hyperlink>
      <w:r>
        <w:t>, p. 25: “[t]he concept of expropriation includes direct expropriation where the state obtains a formal transfer of title or outright physical seizure and indirect expropriation where a state interferes in the use of a property or in the enjoyment of its benefits even where the property is not seized and the legal title to the property is not affected. The degree of protection against indirect expropriation under domestic laws varies significantly across countries, including OECD members. Determining whether a regulation may constitute an indirect expropriation for which compensation should be paid is made on a case-by-case basis. It is not enough that a regulation adversely affects profits for it automatically to be regarded as an act of expropriation. Some legislation provides that, except in rare circumstances, non-discriminatory regulatory actions to protect legitimate public welfare objectives, such as public health, safety and the environment, are not considered to constitute expropriation”.</w:t>
      </w:r>
    </w:p>
  </w:endnote>
  <w:endnote w:id="24">
    <w:p w:rsidR="009707FD" w:rsidRDefault="009707FD" w:rsidP="00C8204B">
      <w:pPr>
        <w:pStyle w:val="EndnoteText"/>
      </w:pPr>
      <w:r>
        <w:rPr>
          <w:rStyle w:val="EndnoteReference"/>
        </w:rPr>
        <w:endnoteRef/>
      </w:r>
      <w:r>
        <w:t xml:space="preserve"> On the notion of arbitrariness, see Institute of International Law (2013), </w:t>
      </w:r>
      <w:r>
        <w:rPr>
          <w:rFonts w:cs="Arial"/>
          <w:color w:val="333333"/>
          <w:lang w:val="en-US"/>
        </w:rPr>
        <w:t xml:space="preserve">Legal Aspects of Recourse to Arbitration by an Investor Against the Authorities of the Host State under Inter-State Treaties (Report), Yearbook of Institute of International Law, Tokyo Session, Draft Works, Paris, </w:t>
      </w:r>
      <w:proofErr w:type="spellStart"/>
      <w:r>
        <w:rPr>
          <w:rFonts w:cs="Arial"/>
          <w:color w:val="333333"/>
          <w:lang w:val="en-US"/>
        </w:rPr>
        <w:t>P</w:t>
      </w:r>
      <w:r>
        <w:rPr>
          <w:color w:val="333333"/>
          <w:lang w:val="en-US"/>
        </w:rPr>
        <w:t>é</w:t>
      </w:r>
      <w:r>
        <w:rPr>
          <w:rFonts w:cs="Arial"/>
          <w:color w:val="333333"/>
          <w:lang w:val="en-US"/>
        </w:rPr>
        <w:t>done</w:t>
      </w:r>
      <w:proofErr w:type="spellEnd"/>
      <w:r>
        <w:rPr>
          <w:rFonts w:cs="Arial"/>
          <w:color w:val="333333"/>
          <w:lang w:val="en-US"/>
        </w:rPr>
        <w:t xml:space="preserve">, available at </w:t>
      </w:r>
      <w:hyperlink r:id="rId11" w:history="1">
        <w:r w:rsidRPr="007B3F4A">
          <w:rPr>
            <w:rStyle w:val="Hyperlink"/>
            <w:rFonts w:cs="Arial"/>
            <w:lang w:val="en-US"/>
          </w:rPr>
          <w:t>http://www.idi-iil.org/app/uploads/2017/06/Question3_travaux.pdf</w:t>
        </w:r>
      </w:hyperlink>
      <w:r>
        <w:rPr>
          <w:rFonts w:cs="Arial"/>
          <w:color w:val="333333"/>
          <w:lang w:val="en-US"/>
        </w:rPr>
        <w:t>, p. 66, para 133: “</w:t>
      </w:r>
      <w:r w:rsidRPr="00C8204B">
        <w:rPr>
          <w:rFonts w:cs="Arial"/>
          <w:color w:val="333333"/>
          <w:lang w:val="en-US"/>
        </w:rPr>
        <w:t>The principle of non-discrimination/arbitrariness was affirmed by</w:t>
      </w:r>
      <w:r>
        <w:rPr>
          <w:rFonts w:cs="Arial"/>
          <w:color w:val="333333"/>
          <w:lang w:val="en-US"/>
        </w:rPr>
        <w:t xml:space="preserve"> </w:t>
      </w:r>
      <w:r w:rsidRPr="00C8204B">
        <w:rPr>
          <w:rFonts w:cs="Arial"/>
          <w:color w:val="333333"/>
          <w:lang w:val="en-US"/>
        </w:rPr>
        <w:t xml:space="preserve">the ICJ in the </w:t>
      </w:r>
      <w:proofErr w:type="spellStart"/>
      <w:r w:rsidRPr="00C8204B">
        <w:rPr>
          <w:rFonts w:cs="Arial"/>
          <w:color w:val="333333"/>
          <w:lang w:val="en-US"/>
        </w:rPr>
        <w:t>Elettronica</w:t>
      </w:r>
      <w:proofErr w:type="spellEnd"/>
      <w:r w:rsidRPr="00C8204B">
        <w:rPr>
          <w:rFonts w:cs="Arial"/>
          <w:color w:val="333333"/>
          <w:lang w:val="en-US"/>
        </w:rPr>
        <w:t xml:space="preserve"> </w:t>
      </w:r>
      <w:proofErr w:type="spellStart"/>
      <w:r w:rsidRPr="00C8204B">
        <w:rPr>
          <w:rFonts w:cs="Arial"/>
          <w:color w:val="333333"/>
          <w:lang w:val="en-US"/>
        </w:rPr>
        <w:t>Sicula</w:t>
      </w:r>
      <w:proofErr w:type="spellEnd"/>
      <w:r w:rsidRPr="00C8204B">
        <w:rPr>
          <w:rFonts w:cs="Arial"/>
          <w:color w:val="333333"/>
          <w:lang w:val="en-US"/>
        </w:rPr>
        <w:t xml:space="preserve"> (ELSI) case (United States v. Italy, 20</w:t>
      </w:r>
      <w:r>
        <w:rPr>
          <w:rFonts w:cs="Arial"/>
          <w:color w:val="333333"/>
          <w:lang w:val="en-US"/>
        </w:rPr>
        <w:t xml:space="preserve"> </w:t>
      </w:r>
      <w:r w:rsidRPr="00C8204B">
        <w:rPr>
          <w:rFonts w:cs="Arial"/>
          <w:color w:val="333333"/>
          <w:lang w:val="en-US"/>
        </w:rPr>
        <w:t>July 1989) “Arbitrariness is not so much something opposed to a rule of</w:t>
      </w:r>
      <w:r>
        <w:rPr>
          <w:rFonts w:cs="Arial"/>
          <w:color w:val="333333"/>
          <w:lang w:val="en-US"/>
        </w:rPr>
        <w:t xml:space="preserve"> </w:t>
      </w:r>
      <w:r w:rsidRPr="00C8204B">
        <w:rPr>
          <w:rFonts w:cs="Arial"/>
          <w:color w:val="333333"/>
          <w:lang w:val="en-US"/>
        </w:rPr>
        <w:t>law, as something opposed to the rule of law … It is a willful disregard of</w:t>
      </w:r>
      <w:r>
        <w:rPr>
          <w:rFonts w:cs="Arial"/>
          <w:color w:val="333333"/>
          <w:lang w:val="en-US"/>
        </w:rPr>
        <w:t xml:space="preserve"> </w:t>
      </w:r>
      <w:r w:rsidRPr="00C8204B">
        <w:rPr>
          <w:rFonts w:cs="Arial"/>
          <w:color w:val="333333"/>
          <w:lang w:val="en-US"/>
        </w:rPr>
        <w:t>due process of law, an act which shocks, or at least surprises, a sense of</w:t>
      </w:r>
      <w:r>
        <w:rPr>
          <w:rFonts w:cs="Arial"/>
          <w:color w:val="333333"/>
          <w:lang w:val="en-US"/>
        </w:rPr>
        <w:t xml:space="preserve"> </w:t>
      </w:r>
      <w:r w:rsidRPr="00C8204B">
        <w:rPr>
          <w:rFonts w:cs="Arial"/>
          <w:color w:val="333333"/>
          <w:lang w:val="en-US"/>
        </w:rPr>
        <w:t>juridical propriety” (para. 128).</w:t>
      </w:r>
      <w:r>
        <w:rPr>
          <w:rFonts w:cs="Arial"/>
          <w:color w:val="333333"/>
          <w:lang w:val="en-US"/>
        </w:rPr>
        <w:t xml:space="preserve"> […]</w:t>
      </w:r>
      <w:r w:rsidRPr="00C8204B">
        <w:rPr>
          <w:rFonts w:cs="Arial"/>
          <w:color w:val="333333"/>
          <w:lang w:val="en-US"/>
        </w:rPr>
        <w:t>.</w:t>
      </w:r>
      <w:r>
        <w:rPr>
          <w:rFonts w:cs="Arial"/>
          <w:color w:val="333333"/>
          <w:lang w:val="en-US"/>
        </w:rPr>
        <w:t xml:space="preserve"> </w:t>
      </w:r>
      <w:r w:rsidRPr="00C8204B">
        <w:rPr>
          <w:rFonts w:cs="Arial"/>
          <w:color w:val="333333"/>
          <w:lang w:val="en-US"/>
        </w:rPr>
        <w:t xml:space="preserve">As to arbitrariness, in the same case </w:t>
      </w:r>
      <w:proofErr w:type="spellStart"/>
      <w:r w:rsidRPr="00C8204B">
        <w:rPr>
          <w:rFonts w:cs="Arial"/>
          <w:color w:val="333333"/>
          <w:lang w:val="en-US"/>
        </w:rPr>
        <w:t>Lemire</w:t>
      </w:r>
      <w:proofErr w:type="spellEnd"/>
      <w:r w:rsidRPr="00C8204B">
        <w:rPr>
          <w:rFonts w:cs="Arial"/>
          <w:color w:val="333333"/>
          <w:lang w:val="en-US"/>
        </w:rPr>
        <w:t xml:space="preserve"> v. Ukraine, the Tribunal</w:t>
      </w:r>
      <w:r>
        <w:rPr>
          <w:rFonts w:cs="Arial"/>
          <w:color w:val="333333"/>
          <w:lang w:val="en-US"/>
        </w:rPr>
        <w:t xml:space="preserve"> </w:t>
      </w:r>
      <w:r w:rsidRPr="00C8204B">
        <w:rPr>
          <w:rFonts w:cs="Arial"/>
          <w:color w:val="333333"/>
          <w:lang w:val="en-US"/>
        </w:rPr>
        <w:t>confirmed that (para. 262) “Arbitrariness has been described as ‘founded</w:t>
      </w:r>
      <w:r>
        <w:rPr>
          <w:rFonts w:cs="Arial"/>
          <w:color w:val="333333"/>
          <w:lang w:val="en-US"/>
        </w:rPr>
        <w:t xml:space="preserve"> </w:t>
      </w:r>
      <w:r w:rsidRPr="00C8204B">
        <w:rPr>
          <w:rFonts w:cs="Arial"/>
          <w:color w:val="333333"/>
          <w:lang w:val="en-US"/>
        </w:rPr>
        <w:t>on prejudice or preference rather than on reason or fact’; ‘…contrary to</w:t>
      </w:r>
      <w:r>
        <w:rPr>
          <w:rFonts w:cs="Arial"/>
          <w:color w:val="333333"/>
          <w:lang w:val="en-US"/>
        </w:rPr>
        <w:t xml:space="preserve"> </w:t>
      </w:r>
      <w:r w:rsidRPr="00C8204B">
        <w:rPr>
          <w:rFonts w:cs="Arial"/>
          <w:color w:val="333333"/>
          <w:lang w:val="en-US"/>
        </w:rPr>
        <w:t>the law because…[it] shocks, or at least surprises, a sense of juridical</w:t>
      </w:r>
      <w:r>
        <w:rPr>
          <w:rFonts w:cs="Arial"/>
          <w:color w:val="333333"/>
          <w:lang w:val="en-US"/>
        </w:rPr>
        <w:t xml:space="preserve"> </w:t>
      </w:r>
      <w:r w:rsidRPr="00C8204B">
        <w:rPr>
          <w:rFonts w:cs="Arial"/>
          <w:color w:val="333333"/>
          <w:lang w:val="en-US"/>
        </w:rPr>
        <w:t>propriety’; or ‘</w:t>
      </w:r>
      <w:proofErr w:type="spellStart"/>
      <w:r w:rsidRPr="00C8204B">
        <w:rPr>
          <w:rFonts w:cs="Arial"/>
          <w:color w:val="333333"/>
          <w:lang w:val="en-US"/>
        </w:rPr>
        <w:t>wilful</w:t>
      </w:r>
      <w:proofErr w:type="spellEnd"/>
      <w:r w:rsidRPr="00C8204B">
        <w:rPr>
          <w:rFonts w:cs="Arial"/>
          <w:color w:val="333333"/>
          <w:lang w:val="en-US"/>
        </w:rPr>
        <w:t xml:space="preserve"> disregard of due process of law, an act which</w:t>
      </w:r>
      <w:r>
        <w:rPr>
          <w:rFonts w:cs="Arial"/>
          <w:color w:val="333333"/>
          <w:lang w:val="en-US"/>
        </w:rPr>
        <w:t xml:space="preserve"> </w:t>
      </w:r>
      <w:r w:rsidRPr="00C8204B">
        <w:rPr>
          <w:rFonts w:cs="Arial"/>
          <w:color w:val="333333"/>
          <w:lang w:val="en-US"/>
        </w:rPr>
        <w:t>shocks, or at least surprises a sense of judicial propriety’; or conduct</w:t>
      </w:r>
      <w:r>
        <w:rPr>
          <w:rFonts w:cs="Arial"/>
          <w:color w:val="333333"/>
          <w:lang w:val="en-US"/>
        </w:rPr>
        <w:t xml:space="preserve"> </w:t>
      </w:r>
      <w:r w:rsidRPr="00C8204B">
        <w:rPr>
          <w:rFonts w:cs="Arial"/>
          <w:color w:val="333333"/>
          <w:lang w:val="en-US"/>
        </w:rPr>
        <w:t>which ‘manifestly violate[s] the requirements of consistency,</w:t>
      </w:r>
      <w:r>
        <w:rPr>
          <w:rFonts w:cs="Arial"/>
          <w:color w:val="333333"/>
          <w:lang w:val="en-US"/>
        </w:rPr>
        <w:t xml:space="preserve"> </w:t>
      </w:r>
      <w:r w:rsidRPr="00C8204B">
        <w:rPr>
          <w:rFonts w:cs="Arial"/>
          <w:color w:val="333333"/>
          <w:lang w:val="en-US"/>
        </w:rPr>
        <w:t>transparency, even-handedness and non-discrimination’”. The Tribunal</w:t>
      </w:r>
      <w:r>
        <w:rPr>
          <w:rFonts w:cs="Arial"/>
          <w:color w:val="333333"/>
          <w:lang w:val="en-US"/>
        </w:rPr>
        <w:t xml:space="preserve"> </w:t>
      </w:r>
      <w:r w:rsidRPr="00C8204B">
        <w:rPr>
          <w:rFonts w:cs="Arial"/>
          <w:color w:val="333333"/>
          <w:lang w:val="en-US"/>
        </w:rPr>
        <w:t>also made reference to the definition of “arbitrary” measure given by</w:t>
      </w:r>
      <w:r>
        <w:rPr>
          <w:rFonts w:cs="Arial"/>
          <w:color w:val="333333"/>
          <w:lang w:val="en-US"/>
        </w:rPr>
        <w:t xml:space="preserve"> </w:t>
      </w:r>
      <w:proofErr w:type="spellStart"/>
      <w:r w:rsidRPr="00C8204B">
        <w:rPr>
          <w:rFonts w:cs="Arial"/>
          <w:color w:val="333333"/>
          <w:lang w:val="en-US"/>
        </w:rPr>
        <w:t>Schreuer</w:t>
      </w:r>
      <w:proofErr w:type="spellEnd"/>
      <w:r w:rsidRPr="00C8204B">
        <w:rPr>
          <w:rFonts w:cs="Arial"/>
          <w:color w:val="333333"/>
          <w:lang w:val="en-US"/>
        </w:rPr>
        <w:t xml:space="preserve"> (who acted as expert in the ICSID Case EDF (Services) Limited</w:t>
      </w:r>
      <w:r>
        <w:rPr>
          <w:rFonts w:cs="Arial"/>
          <w:color w:val="333333"/>
          <w:lang w:val="en-US"/>
        </w:rPr>
        <w:t xml:space="preserve"> </w:t>
      </w:r>
      <w:r w:rsidRPr="00C8204B">
        <w:rPr>
          <w:rFonts w:cs="Arial"/>
          <w:color w:val="333333"/>
          <w:lang w:val="en-US"/>
        </w:rPr>
        <w:t>v. Romania (cf. above para. 71), and was quoted by the Tribunal at para.</w:t>
      </w:r>
      <w:r>
        <w:rPr>
          <w:rFonts w:cs="Arial"/>
          <w:color w:val="333333"/>
          <w:lang w:val="en-US"/>
        </w:rPr>
        <w:t xml:space="preserve"> </w:t>
      </w:r>
      <w:r w:rsidRPr="00C8204B">
        <w:rPr>
          <w:rFonts w:cs="Arial"/>
          <w:color w:val="333333"/>
          <w:lang w:val="en-US"/>
        </w:rPr>
        <w:t>262 of the Award): “a. a measure that inflicts damage on the investor</w:t>
      </w:r>
      <w:r>
        <w:rPr>
          <w:rFonts w:cs="Arial"/>
          <w:color w:val="333333"/>
          <w:lang w:val="en-US"/>
        </w:rPr>
        <w:t xml:space="preserve"> </w:t>
      </w:r>
      <w:r w:rsidRPr="00C8204B">
        <w:rPr>
          <w:rFonts w:cs="Arial"/>
          <w:color w:val="333333"/>
          <w:lang w:val="en-US"/>
        </w:rPr>
        <w:t>without serving any apparent legitimate purpose; b. a measure that is not</w:t>
      </w:r>
      <w:r>
        <w:rPr>
          <w:rFonts w:cs="Arial"/>
          <w:color w:val="333333"/>
          <w:lang w:val="en-US"/>
        </w:rPr>
        <w:t xml:space="preserve"> </w:t>
      </w:r>
      <w:r w:rsidRPr="00C8204B">
        <w:rPr>
          <w:rFonts w:cs="Arial"/>
          <w:color w:val="333333"/>
          <w:lang w:val="en-US"/>
        </w:rPr>
        <w:t>based on legal standards but on discretion, prejudice or personal</w:t>
      </w:r>
      <w:r>
        <w:rPr>
          <w:rFonts w:cs="Arial"/>
          <w:color w:val="333333"/>
          <w:lang w:val="en-US"/>
        </w:rPr>
        <w:t xml:space="preserve"> </w:t>
      </w:r>
      <w:r w:rsidRPr="00C8204B">
        <w:rPr>
          <w:rFonts w:cs="Arial"/>
          <w:color w:val="333333"/>
          <w:lang w:val="en-US"/>
        </w:rPr>
        <w:t>preference; c. a measure taken for reasons that are different from those</w:t>
      </w:r>
      <w:r>
        <w:rPr>
          <w:rFonts w:cs="Arial"/>
          <w:color w:val="333333"/>
          <w:lang w:val="en-US"/>
        </w:rPr>
        <w:t xml:space="preserve"> </w:t>
      </w:r>
      <w:r w:rsidRPr="00C8204B">
        <w:rPr>
          <w:rFonts w:cs="Arial"/>
          <w:color w:val="333333"/>
          <w:lang w:val="en-US"/>
        </w:rPr>
        <w:t xml:space="preserve">put forward by the decision maker; d. a measure taken in </w:t>
      </w:r>
      <w:proofErr w:type="spellStart"/>
      <w:r w:rsidRPr="00C8204B">
        <w:rPr>
          <w:rFonts w:cs="Arial"/>
          <w:color w:val="333333"/>
          <w:lang w:val="en-US"/>
        </w:rPr>
        <w:t>wilful</w:t>
      </w:r>
      <w:proofErr w:type="spellEnd"/>
      <w:r w:rsidRPr="00C8204B">
        <w:rPr>
          <w:rFonts w:cs="Arial"/>
          <w:color w:val="333333"/>
          <w:lang w:val="en-US"/>
        </w:rPr>
        <w:t xml:space="preserve"> disregard</w:t>
      </w:r>
      <w:r>
        <w:rPr>
          <w:rFonts w:cs="Arial"/>
          <w:color w:val="333333"/>
          <w:lang w:val="en-US"/>
        </w:rPr>
        <w:t xml:space="preserve"> </w:t>
      </w:r>
      <w:r w:rsidRPr="00C8204B">
        <w:rPr>
          <w:rFonts w:cs="Arial"/>
          <w:color w:val="333333"/>
          <w:lang w:val="en-US"/>
        </w:rPr>
        <w:t>of due process and proper procedure.” The Tribunal then affirmed that</w:t>
      </w:r>
      <w:r>
        <w:rPr>
          <w:rFonts w:cs="Arial"/>
          <w:color w:val="333333"/>
          <w:lang w:val="en-US"/>
        </w:rPr>
        <w:t xml:space="preserve"> </w:t>
      </w:r>
      <w:r w:rsidRPr="00C8204B">
        <w:rPr>
          <w:rFonts w:cs="Arial"/>
          <w:color w:val="333333"/>
          <w:lang w:val="en-US"/>
        </w:rPr>
        <w:t>(para. 263): “Summing up, the underlying notion of arbitrariness is that</w:t>
      </w:r>
      <w:r>
        <w:rPr>
          <w:rFonts w:cs="Arial"/>
          <w:color w:val="333333"/>
          <w:lang w:val="en-US"/>
        </w:rPr>
        <w:t xml:space="preserve"> </w:t>
      </w:r>
      <w:r w:rsidRPr="00C8204B">
        <w:rPr>
          <w:rFonts w:cs="Arial"/>
          <w:color w:val="333333"/>
          <w:lang w:val="en-US"/>
        </w:rPr>
        <w:t>prejudice, preference or bias is substituted for the rule of law”</w:t>
      </w:r>
      <w:r>
        <w:rPr>
          <w:rFonts w:cs="Arial"/>
          <w:color w:val="333333"/>
          <w:lang w:val="en-US"/>
        </w:rPr>
        <w:t>.</w:t>
      </w:r>
    </w:p>
  </w:endnote>
  <w:endnote w:id="25">
    <w:p w:rsidR="009707FD" w:rsidRDefault="009707FD">
      <w:pPr>
        <w:pStyle w:val="EndnoteText"/>
      </w:pPr>
      <w:r>
        <w:rPr>
          <w:rStyle w:val="EndnoteReference"/>
        </w:rPr>
        <w:endnoteRef/>
      </w:r>
      <w:r>
        <w:t xml:space="preserve"> </w:t>
      </w:r>
      <w:r w:rsidRPr="00565CF2">
        <w:t xml:space="preserve">See OECD (2011), </w:t>
      </w:r>
      <w:r w:rsidRPr="00565CF2">
        <w:rPr>
          <w:i/>
          <w:iCs/>
        </w:rPr>
        <w:t>OECD Guidelines for Multinational Enterprises</w:t>
      </w:r>
      <w:r w:rsidRPr="00565CF2">
        <w:t xml:space="preserve">, OECD Publishing. </w:t>
      </w:r>
      <w:hyperlink r:id="rId12" w:history="1">
        <w:r w:rsidRPr="008A1BE8">
          <w:rPr>
            <w:rStyle w:val="Hyperlink"/>
            <w:i/>
            <w:iCs/>
          </w:rPr>
          <w:t>http://dx.doi.org/10.1787/9789264115415-en</w:t>
        </w:r>
      </w:hyperlink>
      <w:r>
        <w:rPr>
          <w:color w:val="000000"/>
        </w:rPr>
        <w:t>, Chapter II, General Policies, para. 5.</w:t>
      </w:r>
    </w:p>
  </w:endnote>
  <w:endnote w:id="26">
    <w:p w:rsidR="009707FD" w:rsidRDefault="009707FD" w:rsidP="008475A4">
      <w:pPr>
        <w:pStyle w:val="EndnoteText"/>
      </w:pPr>
      <w:r>
        <w:rPr>
          <w:rStyle w:val="EndnoteReference"/>
        </w:rPr>
        <w:endnoteRef/>
      </w:r>
      <w:r>
        <w:t xml:space="preserve">United Nations, Office of the High Commissioner on Human Rights, </w:t>
      </w:r>
      <w:r w:rsidRPr="00A75D34">
        <w:rPr>
          <w:i/>
          <w:lang w:val="en"/>
        </w:rPr>
        <w:t>Principles for responsible contracts: Integrating the management of human rights risks into State–investor contract negotiations – Guidance for negotiators</w:t>
      </w:r>
      <w:r w:rsidRPr="00A75D34">
        <w:rPr>
          <w:lang w:val="en"/>
        </w:rPr>
        <w:t xml:space="preserve"> (A/HRC/17/31/Add.3), United Nations publication, Sales No. 13.XIV.5</w:t>
      </w:r>
      <w:r>
        <w:rPr>
          <w:lang w:val="en"/>
        </w:rPr>
        <w:t>, Principle 2, p</w:t>
      </w:r>
      <w:r>
        <w:t>. 18.</w:t>
      </w:r>
    </w:p>
  </w:endnote>
  <w:endnote w:id="27">
    <w:p w:rsidR="009707FD" w:rsidRDefault="009707FD" w:rsidP="008475A4">
      <w:pPr>
        <w:pStyle w:val="EndnoteText"/>
      </w:pPr>
      <w:r>
        <w:rPr>
          <w:rStyle w:val="EndnoteReference"/>
        </w:rPr>
        <w:endnoteRef/>
      </w:r>
      <w:r>
        <w:t xml:space="preserve"> Examples of</w:t>
      </w:r>
      <w:r w:rsidRPr="00404746">
        <w:t xml:space="preserve"> abusive transfer pricing in the </w:t>
      </w:r>
      <w:r>
        <w:t xml:space="preserve">extractive </w:t>
      </w:r>
      <w:r w:rsidRPr="00404746">
        <w:t>sector include: claiming excessive fees for managerial and technical services shared by a company’s international operations; licensing of intellectual property in low tax jurisdictions; and providing capital goods and machinery in leasing arrangements at above-market costs</w:t>
      </w:r>
      <w:r>
        <w:t xml:space="preserve">. </w:t>
      </w:r>
    </w:p>
  </w:endnote>
  <w:endnote w:id="28">
    <w:p w:rsidR="008615B2" w:rsidRDefault="008615B2" w:rsidP="008615B2">
      <w:pPr>
        <w:pStyle w:val="EndnoteText"/>
      </w:pPr>
      <w:r>
        <w:rPr>
          <w:rStyle w:val="EndnoteReference"/>
        </w:rPr>
        <w:endnoteRef/>
      </w:r>
      <w:r>
        <w:t xml:space="preserve"> </w:t>
      </w:r>
      <w:r w:rsidRPr="00B24E87">
        <w:rPr>
          <w:rFonts w:ascii="TimesNewRomanPS-ItalicMT" w:hAnsi="TimesNewRomanPS-ItalicMT" w:cs="TimesNewRomanPS-ItalicMT"/>
          <w:iCs/>
        </w:rPr>
        <w:t>L. Hogan and B. Goldsworthy</w:t>
      </w:r>
      <w:r>
        <w:rPr>
          <w:rFonts w:ascii="TimesNewRomanPS-ItalicMT" w:hAnsi="TimesNewRomanPS-ItalicMT" w:cs="TimesNewRomanPS-ItalicMT"/>
          <w:iCs/>
        </w:rPr>
        <w:t xml:space="preserve">, </w:t>
      </w:r>
      <w:r w:rsidRPr="00CF5AAB">
        <w:rPr>
          <w:rFonts w:ascii="TimesNewRomanPS-ItalicMT" w:hAnsi="TimesNewRomanPS-ItalicMT" w:cs="TimesNewRomanPS-ItalicMT"/>
          <w:i/>
          <w:iCs/>
        </w:rPr>
        <w:t>International mineral taxation: experience and issues</w:t>
      </w:r>
      <w:r>
        <w:t>, in P. Daniel, M. Keen, and C. McPherson (2010), London and New York, Routledge, International Monetary Fund, at p. 133.</w:t>
      </w:r>
    </w:p>
  </w:endnote>
  <w:endnote w:id="29">
    <w:p w:rsidR="009707FD" w:rsidRPr="001C66D5" w:rsidRDefault="009707FD" w:rsidP="008475A4">
      <w:pPr>
        <w:pStyle w:val="EndnoteText"/>
        <w:rPr>
          <w:color w:val="000000"/>
        </w:rPr>
      </w:pPr>
      <w:r>
        <w:rPr>
          <w:rStyle w:val="EndnoteReference"/>
        </w:rPr>
        <w:endnoteRef/>
      </w:r>
      <w:r w:rsidRPr="00FA1649">
        <w:t xml:space="preserve"> </w:t>
      </w:r>
      <w:r>
        <w:rPr>
          <w:color w:val="000000"/>
        </w:rPr>
        <w:t xml:space="preserve">P. van </w:t>
      </w:r>
      <w:proofErr w:type="spellStart"/>
      <w:r>
        <w:rPr>
          <w:color w:val="000000"/>
        </w:rPr>
        <w:t>Meurs</w:t>
      </w:r>
      <w:proofErr w:type="spellEnd"/>
      <w:r w:rsidRPr="00FA1649">
        <w:rPr>
          <w:color w:val="000000"/>
        </w:rPr>
        <w:t xml:space="preserve"> </w:t>
      </w:r>
      <w:r>
        <w:rPr>
          <w:color w:val="000000"/>
        </w:rPr>
        <w:t>(</w:t>
      </w:r>
      <w:r w:rsidRPr="00FA1649">
        <w:rPr>
          <w:color w:val="000000"/>
        </w:rPr>
        <w:t>2016</w:t>
      </w:r>
      <w:r>
        <w:rPr>
          <w:color w:val="000000"/>
        </w:rPr>
        <w:t>),</w:t>
      </w:r>
      <w:r w:rsidRPr="001C66D5">
        <w:rPr>
          <w:color w:val="000000"/>
        </w:rPr>
        <w:t xml:space="preserve"> </w:t>
      </w:r>
      <w:r w:rsidRPr="001C66D5">
        <w:rPr>
          <w:i/>
          <w:color w:val="000000"/>
        </w:rPr>
        <w:t>Government Fiscal Strategies under Low Oil Prices and Climate Change</w:t>
      </w:r>
      <w:r w:rsidRPr="001C66D5">
        <w:rPr>
          <w:color w:val="000000"/>
        </w:rPr>
        <w:t>, Discussion paper for submission to the 3rd Government Oil and Gas Summit (May 17-18, 2016, London, UK), http://www.cwcschool.com/report-fiscal-strategies-under-low-oil-prices-and-climate-change/.</w:t>
      </w:r>
    </w:p>
  </w:endnote>
  <w:endnote w:id="30">
    <w:p w:rsidR="009707FD" w:rsidRDefault="009707FD" w:rsidP="008475A4">
      <w:pPr>
        <w:pStyle w:val="EndnoteText"/>
      </w:pPr>
      <w:r>
        <w:rPr>
          <w:rStyle w:val="EndnoteReference"/>
        </w:rPr>
        <w:endnoteRef/>
      </w:r>
      <w:r>
        <w:t xml:space="preserve"> </w:t>
      </w:r>
      <w:r w:rsidRPr="001C66D5">
        <w:rPr>
          <w:rFonts w:ascii="TimesNewRomanPS-ItalicMT" w:hAnsi="TimesNewRomanPS-ItalicMT" w:cs="TimesNewRomanPS-ItalicMT"/>
          <w:iCs/>
        </w:rPr>
        <w:t xml:space="preserve">R. </w:t>
      </w:r>
      <w:proofErr w:type="spellStart"/>
      <w:r w:rsidRPr="001C66D5">
        <w:rPr>
          <w:rFonts w:ascii="TimesNewRomanPS-ItalicMT" w:hAnsi="TimesNewRomanPS-ItalicMT" w:cs="TimesNewRomanPS-ItalicMT"/>
          <w:iCs/>
        </w:rPr>
        <w:t>Boadway</w:t>
      </w:r>
      <w:proofErr w:type="spellEnd"/>
      <w:r w:rsidRPr="001C66D5">
        <w:rPr>
          <w:rFonts w:ascii="TimesNewRomanPS-ItalicMT" w:hAnsi="TimesNewRomanPS-ItalicMT" w:cs="TimesNewRomanPS-ItalicMT"/>
          <w:iCs/>
        </w:rPr>
        <w:t xml:space="preserve"> and M. Keen</w:t>
      </w:r>
      <w:r>
        <w:rPr>
          <w:rFonts w:ascii="TimesNewRomanPS-ItalicMT" w:hAnsi="TimesNewRomanPS-ItalicMT" w:cs="TimesNewRomanPS-ItalicMT"/>
          <w:iCs/>
        </w:rPr>
        <w:t xml:space="preserve">, </w:t>
      </w:r>
      <w:r w:rsidRPr="00AF6974">
        <w:rPr>
          <w:rFonts w:ascii="TimesNewRomanPS-ItalicMT" w:hAnsi="TimesNewRomanPS-ItalicMT" w:cs="TimesNewRomanPS-ItalicMT"/>
          <w:i/>
          <w:iCs/>
        </w:rPr>
        <w:t>Theoretical perspectives on resource tax design</w:t>
      </w:r>
      <w:r>
        <w:rPr>
          <w:rFonts w:ascii="TimesNewRomanPS-ItalicMT" w:hAnsi="TimesNewRomanPS-ItalicMT" w:cs="TimesNewRomanPS-ItalicMT"/>
          <w:iCs/>
        </w:rPr>
        <w:t xml:space="preserve">, in </w:t>
      </w:r>
      <w:r>
        <w:t xml:space="preserve">P. Daniel, M. Keen, and C. McPherson (2010), London and New York, Routledge, International Monetary Fund, </w:t>
      </w:r>
      <w:r>
        <w:rPr>
          <w:rFonts w:ascii="TimesNewRomanPS-ItalicMT" w:hAnsi="TimesNewRomanPS-ItalicMT" w:cs="TimesNewRomanPS-ItalicMT"/>
          <w:iCs/>
        </w:rPr>
        <w:t>at p. 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Kabel-Black">
    <w:altName w:val="Kabel-Black"/>
    <w:panose1 w:val="00000000000000000000"/>
    <w:charset w:val="00"/>
    <w:family w:val="swiss"/>
    <w:notTrueType/>
    <w:pitch w:val="default"/>
    <w:sig w:usb0="00000003" w:usb1="00000000" w:usb2="00000000" w:usb3="00000000" w:csb0="00000001" w:csb1="00000000"/>
  </w:font>
  <w:font w:name="Kabel-Book">
    <w:altName w:val="Kabel-Book"/>
    <w:panose1 w:val="00000000000000000000"/>
    <w:charset w:val="00"/>
    <w:family w:val="swiss"/>
    <w:notTrueType/>
    <w:pitch w:val="default"/>
    <w:sig w:usb0="00000003" w:usb1="00000000" w:usb2="00000000" w:usb3="00000000" w:csb0="00000001" w:csb1="00000000"/>
  </w:font>
  <w:font w:name="HelveticaNeueLT Pro 55 Roman">
    <w:altName w:val="Calibri"/>
    <w:panose1 w:val="00000000000000000000"/>
    <w:charset w:val="00"/>
    <w:family w:val="swiss"/>
    <w:notTrueType/>
    <w:pitch w:val="default"/>
    <w:sig w:usb0="00000003" w:usb1="00000000" w:usb2="00000000" w:usb3="00000000" w:csb0="00000001" w:csb1="00000000"/>
  </w:font>
  <w:font w:name="HSMZH C+ DTL Documenta T">
    <w:altName w:val="DTL Documenta T"/>
    <w:panose1 w:val="00000000000000000000"/>
    <w:charset w:val="00"/>
    <w:family w:val="roman"/>
    <w:notTrueType/>
    <w:pitch w:val="default"/>
    <w:sig w:usb0="00000003" w:usb1="00000000" w:usb2="00000000" w:usb3="00000000" w:csb0="00000001" w:csb1="00000000"/>
  </w:font>
  <w:font w:name="Rockwell">
    <w:altName w:val="Rockwell"/>
    <w:charset w:val="00"/>
    <w:family w:val="roman"/>
    <w:pitch w:val="variable"/>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TimesNewRomanPSMT">
    <w:altName w:val="MS Gothic"/>
    <w:panose1 w:val="00000000000000000000"/>
    <w:charset w:val="0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ecilia-Roman">
    <w:altName w:val="Courier New"/>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BC" w:rsidRDefault="00F514BC" w:rsidP="00384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8B">
      <w:rPr>
        <w:rStyle w:val="PageNumber"/>
        <w:noProof/>
      </w:rPr>
      <w:t>2</w:t>
    </w:r>
    <w:r>
      <w:rPr>
        <w:rStyle w:val="PageNumber"/>
      </w:rPr>
      <w:fldChar w:fldCharType="end"/>
    </w:r>
  </w:p>
  <w:p w:rsidR="00F514BC" w:rsidRDefault="00F51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BC" w:rsidRDefault="00F514BC">
    <w:pPr>
      <w:pStyle w:val="Footer"/>
    </w:pPr>
  </w:p>
  <w:p w:rsidR="00F514BC" w:rsidRDefault="00F51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D" w:rsidRDefault="009707FD" w:rsidP="00923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8B">
      <w:rPr>
        <w:rStyle w:val="PageNumber"/>
        <w:noProof/>
      </w:rPr>
      <w:t>4</w:t>
    </w:r>
    <w:r>
      <w:rPr>
        <w:rStyle w:val="PageNumber"/>
      </w:rPr>
      <w:fldChar w:fldCharType="end"/>
    </w:r>
  </w:p>
  <w:p w:rsidR="009707FD" w:rsidRDefault="009707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D" w:rsidRDefault="009707FD" w:rsidP="00923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8B">
      <w:rPr>
        <w:rStyle w:val="PageNumber"/>
        <w:noProof/>
      </w:rPr>
      <w:t>5</w:t>
    </w:r>
    <w:r>
      <w:rPr>
        <w:rStyle w:val="PageNumber"/>
      </w:rPr>
      <w:fldChar w:fldCharType="end"/>
    </w:r>
  </w:p>
  <w:p w:rsidR="009707FD" w:rsidRPr="00C81918" w:rsidRDefault="009707FD" w:rsidP="00923B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37645"/>
      <w:docPartObj>
        <w:docPartGallery w:val="Page Numbers (Bottom of Page)"/>
        <w:docPartUnique/>
      </w:docPartObj>
    </w:sdtPr>
    <w:sdtEndPr>
      <w:rPr>
        <w:b/>
        <w:noProof/>
        <w:sz w:val="22"/>
        <w:szCs w:val="22"/>
      </w:rPr>
    </w:sdtEndPr>
    <w:sdtContent>
      <w:p w:rsidR="009707FD" w:rsidRPr="00EE312C" w:rsidRDefault="009707FD">
        <w:pPr>
          <w:pStyle w:val="Footer"/>
          <w:rPr>
            <w:b/>
            <w:sz w:val="22"/>
            <w:szCs w:val="22"/>
          </w:rPr>
        </w:pPr>
        <w:r w:rsidRPr="00EE312C">
          <w:rPr>
            <w:b/>
            <w:sz w:val="22"/>
            <w:szCs w:val="22"/>
          </w:rPr>
          <w:fldChar w:fldCharType="begin"/>
        </w:r>
        <w:r w:rsidRPr="00EE312C">
          <w:rPr>
            <w:b/>
            <w:sz w:val="22"/>
            <w:szCs w:val="22"/>
          </w:rPr>
          <w:instrText xml:space="preserve"> PAGE   \* MERGEFORMAT </w:instrText>
        </w:r>
        <w:r w:rsidRPr="00EE312C">
          <w:rPr>
            <w:b/>
            <w:sz w:val="22"/>
            <w:szCs w:val="22"/>
          </w:rPr>
          <w:fldChar w:fldCharType="separate"/>
        </w:r>
        <w:r w:rsidR="00F514BC">
          <w:rPr>
            <w:b/>
            <w:noProof/>
            <w:sz w:val="22"/>
            <w:szCs w:val="22"/>
          </w:rPr>
          <w:t>18</w:t>
        </w:r>
        <w:r w:rsidRPr="00EE312C">
          <w:rPr>
            <w:b/>
            <w:noProof/>
            <w:sz w:val="22"/>
            <w:szCs w:val="22"/>
          </w:rPr>
          <w:fldChar w:fldCharType="end"/>
        </w:r>
      </w:p>
    </w:sdtContent>
  </w:sdt>
  <w:sdt>
    <w:sdtPr>
      <w:id w:val="-1732301410"/>
      <w:docPartObj>
        <w:docPartGallery w:val="Page Numbers (Bottom of Page)"/>
        <w:docPartUnique/>
      </w:docPartObj>
    </w:sdtPr>
    <w:sdtEndPr>
      <w:rPr>
        <w:rStyle w:val="HeaderClassificationChar"/>
        <w:sz w:val="14"/>
      </w:rPr>
    </w:sdtEndPr>
    <w:sdtContent>
      <w:p w:rsidR="009707FD" w:rsidRDefault="008C028B" w:rsidP="00511C95">
        <w:pPr>
          <w:pStyle w:val="Footer"/>
          <w:jc w:val="right"/>
        </w:pPr>
        <w:sdt>
          <w:sdtPr>
            <w:alias w:val="Document Title"/>
            <w:tag w:val="txtDocTitle"/>
            <w:id w:val="1138142121"/>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9707FD">
              <w:t xml:space="preserve">     </w:t>
            </w:r>
          </w:sdtContent>
        </w:sdt>
      </w:p>
      <w:p w:rsidR="009707FD" w:rsidRPr="000B5552" w:rsidRDefault="008C028B" w:rsidP="002D57CD">
        <w:pPr>
          <w:pStyle w:val="Footer"/>
          <w:jc w:val="left"/>
          <w:rPr>
            <w:rStyle w:val="HeaderClassificationChar"/>
          </w:rPr>
        </w:pPr>
        <w:sdt>
          <w:sdtPr>
            <w:rPr>
              <w:rStyle w:val="HeaderClassificationChar"/>
            </w:rPr>
            <w:alias w:val="Classification"/>
            <w:tag w:val="txtHeaderClassif"/>
            <w:id w:val="-676649601"/>
            <w:lock w:val="sdtLocked"/>
          </w:sdtPr>
          <w:sdtEndPr>
            <w:rPr>
              <w:rStyle w:val="HeaderClassificationChar"/>
            </w:rPr>
          </w:sdtEndPr>
          <w:sdtContent>
            <w:r w:rsidR="009707FD">
              <w:rPr>
                <w:rStyle w:val="HeaderClassificationChar"/>
              </w:rPr>
              <w:t xml:space="preserve"> </w:t>
            </w:r>
          </w:sdtContent>
        </w:sdt>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17830"/>
      <w:docPartObj>
        <w:docPartGallery w:val="Page Numbers (Bottom of Page)"/>
        <w:docPartUnique/>
      </w:docPartObj>
    </w:sdtPr>
    <w:sdtEndPr>
      <w:rPr>
        <w:b/>
        <w:noProof/>
        <w:sz w:val="22"/>
        <w:szCs w:val="22"/>
      </w:rPr>
    </w:sdtEndPr>
    <w:sdtContent>
      <w:p w:rsidR="009707FD" w:rsidRPr="00EE312C" w:rsidRDefault="009707FD">
        <w:pPr>
          <w:pStyle w:val="Footer"/>
          <w:rPr>
            <w:b/>
            <w:sz w:val="22"/>
            <w:szCs w:val="22"/>
          </w:rPr>
        </w:pPr>
        <w:r w:rsidRPr="00EE312C">
          <w:rPr>
            <w:b/>
            <w:sz w:val="22"/>
            <w:szCs w:val="22"/>
          </w:rPr>
          <w:fldChar w:fldCharType="begin"/>
        </w:r>
        <w:r w:rsidRPr="00EE312C">
          <w:rPr>
            <w:b/>
            <w:sz w:val="22"/>
            <w:szCs w:val="22"/>
          </w:rPr>
          <w:instrText xml:space="preserve"> PAGE   \* MERGEFORMAT </w:instrText>
        </w:r>
        <w:r w:rsidRPr="00EE312C">
          <w:rPr>
            <w:b/>
            <w:sz w:val="22"/>
            <w:szCs w:val="22"/>
          </w:rPr>
          <w:fldChar w:fldCharType="separate"/>
        </w:r>
        <w:r w:rsidR="00F514BC">
          <w:rPr>
            <w:b/>
            <w:noProof/>
            <w:sz w:val="22"/>
            <w:szCs w:val="22"/>
          </w:rPr>
          <w:t>21</w:t>
        </w:r>
        <w:r w:rsidRPr="00EE312C">
          <w:rPr>
            <w:b/>
            <w:noProof/>
            <w:sz w:val="22"/>
            <w:szCs w:val="22"/>
          </w:rPr>
          <w:fldChar w:fldCharType="end"/>
        </w:r>
      </w:p>
    </w:sdtContent>
  </w:sdt>
  <w:p w:rsidR="009707FD" w:rsidRDefault="008C028B" w:rsidP="00511C95">
    <w:pPr>
      <w:pStyle w:val="Footer"/>
      <w:jc w:val="left"/>
      <w:rPr>
        <w:rStyle w:val="HeaderClassificationChar"/>
      </w:rPr>
    </w:pPr>
    <w:sdt>
      <w:sdtPr>
        <w:alias w:val="Document Title"/>
        <w:tag w:val="txtDocTitle"/>
        <w:id w:val="1192263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r w:rsidR="009707FD">
          <w:t xml:space="preserve">     </w:t>
        </w:r>
      </w:sdtContent>
    </w:sdt>
  </w:p>
  <w:p w:rsidR="009707FD" w:rsidRPr="00E929D3" w:rsidRDefault="008C028B" w:rsidP="002D57CD">
    <w:pPr>
      <w:pStyle w:val="Footer"/>
      <w:jc w:val="right"/>
      <w:rPr>
        <w:rStyle w:val="PageNumber"/>
        <w:b w:val="0"/>
        <w:sz w:val="12"/>
        <w:szCs w:val="20"/>
      </w:rPr>
    </w:pPr>
    <w:sdt>
      <w:sdtPr>
        <w:rPr>
          <w:rStyle w:val="HeaderClassificationChar"/>
        </w:rPr>
        <w:alias w:val="Classification"/>
        <w:tag w:val="txtHeaderClassif"/>
        <w:id w:val="1091439963"/>
        <w:lock w:val="sdtLocked"/>
      </w:sdtPr>
      <w:sdtEndPr>
        <w:rPr>
          <w:rStyle w:val="HeaderClassificationChar"/>
        </w:rPr>
      </w:sdtEndPr>
      <w:sdtContent>
        <w:r w:rsidR="009707FD">
          <w:rPr>
            <w:rStyle w:val="HeaderClassificationChar"/>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FD" w:rsidRDefault="009707FD">
      <w:r>
        <w:separator/>
      </w:r>
    </w:p>
  </w:footnote>
  <w:footnote w:type="continuationSeparator" w:id="0">
    <w:p w:rsidR="009707FD" w:rsidRDefault="0097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BC" w:rsidRPr="00B07163" w:rsidRDefault="00F514BC" w:rsidP="00C26E57">
    <w:pPr>
      <w:pStyle w:val="Header"/>
      <w:tabs>
        <w:tab w:val="left" w:pos="3828"/>
      </w:tabs>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BC" w:rsidRPr="00B07163" w:rsidRDefault="00F514BC" w:rsidP="00A557C0">
    <w:pPr>
      <w:pStyle w:val="Header"/>
      <w:jc w:val="center"/>
      <w:rPr>
        <w:lang w:val="fr-FR"/>
      </w:rPr>
    </w:pPr>
    <w:r>
      <w:rPr>
        <w:noProof/>
        <w:lang w:eastAsia="en-GB"/>
      </w:rPr>
      <w:drawing>
        <wp:inline distT="0" distB="0" distL="0" distR="0" wp14:anchorId="73D46286" wp14:editId="35D4951C">
          <wp:extent cx="2325191" cy="624702"/>
          <wp:effectExtent l="0" t="0" r="0" b="0"/>
          <wp:docPr id="4" name="Picture 4"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aud_l\AppData\Local\Microsoft\Windows\Temporary Internet Files\Content.Outlook\J37GCXKP\OECD-DEV-SpecialJointProjects_E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443" cy="62745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D" w:rsidRDefault="009707FD" w:rsidP="00923B1C">
    <w:pPr>
      <w:pStyle w:val="Header"/>
      <w:jc w:val="center"/>
    </w:pPr>
    <w:r>
      <w:rPr>
        <w:noProof/>
        <w:lang w:eastAsia="en-GB"/>
      </w:rPr>
      <w:drawing>
        <wp:inline distT="0" distB="0" distL="0" distR="0" wp14:anchorId="57A693BE" wp14:editId="2C7ED284">
          <wp:extent cx="2325191" cy="624702"/>
          <wp:effectExtent l="0" t="0" r="0" b="0"/>
          <wp:docPr id="1" name="Picture 1"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aud_l\AppData\Local\Microsoft\Windows\Temporary Internet Files\Content.Outlook\J37GCXKP\OECD-DEV-SpecialJointProjects_E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443" cy="62745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D" w:rsidRDefault="009707FD" w:rsidP="008D24A3">
    <w:pPr>
      <w:pStyle w:val="Header"/>
      <w:jc w:val="center"/>
    </w:pPr>
    <w:r>
      <w:rPr>
        <w:noProof/>
        <w:lang w:eastAsia="en-GB"/>
      </w:rPr>
      <w:drawing>
        <wp:inline distT="0" distB="0" distL="0" distR="0" wp14:anchorId="1B16A5D4" wp14:editId="4EE4751B">
          <wp:extent cx="2325191" cy="624702"/>
          <wp:effectExtent l="0" t="0" r="0" b="0"/>
          <wp:docPr id="10" name="Picture 10"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aud_l\AppData\Local\Microsoft\Windows\Temporary Internet Files\Content.Outlook\J37GCXKP\OECD-DEV-SpecialJointProjects_E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443" cy="627456"/>
                  </a:xfrm>
                  <a:prstGeom prst="rect">
                    <a:avLst/>
                  </a:prstGeom>
                  <a:noFill/>
                  <a:ln>
                    <a:noFill/>
                  </a:ln>
                </pic:spPr>
              </pic:pic>
            </a:graphicData>
          </a:graphic>
        </wp:inline>
      </w:drawing>
    </w:r>
  </w:p>
  <w:p w:rsidR="009707FD" w:rsidRDefault="009707FD">
    <w:pPr>
      <w:pStyle w:val="Header"/>
    </w:pPr>
  </w:p>
  <w:p w:rsidR="009707FD" w:rsidRPr="008D24A3" w:rsidRDefault="008C028B" w:rsidP="008D24A3">
    <w:pPr>
      <w:pStyle w:val="HeaderEven"/>
      <w:rPr>
        <w:sz w:val="14"/>
        <w:lang w:val="en-GB"/>
      </w:rPr>
    </w:pPr>
    <w:sdt>
      <w:sdtPr>
        <w:rPr>
          <w:rStyle w:val="PageNumber"/>
        </w:rPr>
        <w:id w:val="-576511751"/>
        <w:lock w:val="sdtLocked"/>
        <w:showingPlcHdr/>
      </w:sdtPr>
      <w:sdtEndPr>
        <w:rPr>
          <w:rStyle w:val="PageNumber"/>
        </w:rPr>
      </w:sdtEndPr>
      <w:sdtContent>
        <w:r w:rsidR="009707FD" w:rsidRPr="00163866">
          <w:rPr>
            <w:rStyle w:val="PlaceholderText"/>
            <w:lang w:val="en-GB"/>
          </w:rPr>
          <w:t>Click here to enter text.</w:t>
        </w:r>
      </w:sdtContent>
    </w:sdt>
    <w:r w:rsidR="009707FD" w:rsidRPr="002C6328">
      <w:rPr>
        <w:rStyle w:val="PageNumber"/>
        <w:lang w:val="en-GB"/>
      </w:rPr>
      <w:t xml:space="preserve"> </w:t>
    </w:r>
    <w:sdt>
      <w:sdtPr>
        <w:rPr>
          <w:rStyle w:val="HeaderTitle"/>
        </w:rPr>
        <w:alias w:val="Cote/Chapter"/>
        <w:tag w:val="txtHeaderValue"/>
        <w:id w:val="881750566"/>
        <w:lock w:val="sdtLocked"/>
        <w:showingPlcHdr/>
        <w:text/>
      </w:sdtPr>
      <w:sdtEndPr>
        <w:rPr>
          <w:rStyle w:val="HeaderTitle"/>
        </w:rPr>
      </w:sdtEndPr>
      <w:sdtContent>
        <w:r w:rsidR="009707FD">
          <w:rPr>
            <w:rStyle w:val="HeaderTitle"/>
          </w:rPr>
          <w:t xml:space="preserve">     </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D" w:rsidRPr="00E17F92" w:rsidRDefault="008C028B" w:rsidP="008D24A3">
    <w:pPr>
      <w:pStyle w:val="HeaderOdd"/>
      <w:pBdr>
        <w:bottom w:val="single" w:sz="4" w:space="8" w:color="auto"/>
      </w:pBdr>
      <w:jc w:val="center"/>
      <w:rPr>
        <w:rStyle w:val="PageNumber"/>
        <w:b w:val="0"/>
        <w:noProof/>
        <w:lang w:val="en-GB"/>
      </w:rPr>
    </w:pPr>
    <w:sdt>
      <w:sdtPr>
        <w:rPr>
          <w:rStyle w:val="HeaderTitle"/>
        </w:rPr>
        <w:alias w:val="Cote/Chapter"/>
        <w:tag w:val="txtHeaderValue"/>
        <w:id w:val="1852844157"/>
        <w:lock w:val="sdtLocked"/>
        <w:showingPlcHdr/>
        <w:text/>
      </w:sdtPr>
      <w:sdtEndPr>
        <w:rPr>
          <w:rStyle w:val="HeaderTitle"/>
        </w:rPr>
      </w:sdtEndPr>
      <w:sdtContent>
        <w:r w:rsidR="009707FD" w:rsidRPr="00E17F92">
          <w:rPr>
            <w:rStyle w:val="HeaderTitle"/>
            <w:lang w:val="en-GB"/>
          </w:rPr>
          <w:t xml:space="preserve">     </w:t>
        </w:r>
      </w:sdtContent>
    </w:sdt>
    <w:r w:rsidR="009707FD" w:rsidRPr="00E17F92">
      <w:rPr>
        <w:rStyle w:val="PageNumber"/>
        <w:rFonts w:ascii="Courier New" w:hAnsi="Courier New" w:cs="Courier New"/>
        <w:lang w:val="en-GB"/>
      </w:rPr>
      <w:t xml:space="preserve"> │</w:t>
    </w:r>
    <w:r w:rsidR="009707FD" w:rsidRPr="00E17F92">
      <w:rPr>
        <w:rStyle w:val="PageNumber"/>
        <w:lang w:val="en-GB"/>
      </w:rPr>
      <w:t xml:space="preserve"> </w:t>
    </w:r>
    <w:sdt>
      <w:sdtPr>
        <w:rPr>
          <w:rStyle w:val="PageNumber"/>
          <w:b w:val="0"/>
        </w:rPr>
        <w:id w:val="-2108341928"/>
        <w:lock w:val="sdtLocked"/>
        <w:showingPlcHdr/>
      </w:sdtPr>
      <w:sdtEndPr>
        <w:rPr>
          <w:rStyle w:val="PageNumber"/>
        </w:rPr>
      </w:sdtEndPr>
      <w:sdtContent>
        <w:r w:rsidR="009707FD" w:rsidRPr="00E17F92">
          <w:rPr>
            <w:rStyle w:val="PlaceholderText"/>
            <w:lang w:val="en-GB"/>
          </w:rPr>
          <w:t>Click here to enter text.</w:t>
        </w:r>
      </w:sdtContent>
    </w:sdt>
    <w:r w:rsidR="009707FD">
      <w:rPr>
        <w:noProof/>
        <w:lang w:val="en-GB" w:eastAsia="en-GB"/>
      </w:rPr>
      <w:drawing>
        <wp:inline distT="0" distB="0" distL="0" distR="0" wp14:anchorId="316286C3" wp14:editId="2BD8A927">
          <wp:extent cx="2325191" cy="624702"/>
          <wp:effectExtent l="0" t="0" r="0" b="0"/>
          <wp:docPr id="9" name="Picture 9" descr="C:\Users\brillaud_l\AppData\Local\Microsoft\Windows\Temporary Internet Files\Content.Outlook\J37GCXKP\OECD-DEV-SpecialJointProject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llaud_l\AppData\Local\Microsoft\Windows\Temporary Internet Files\Content.Outlook\J37GCXKP\OECD-DEV-SpecialJointProjects_EN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443" cy="62745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FD" w:rsidRDefault="00970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55"/>
    <w:multiLevelType w:val="hybridMultilevel"/>
    <w:tmpl w:val="247894C8"/>
    <w:lvl w:ilvl="0" w:tplc="A9907710">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nsid w:val="09D27126"/>
    <w:multiLevelType w:val="hybridMultilevel"/>
    <w:tmpl w:val="15EEB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6">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7">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8">
    <w:nsid w:val="1613087B"/>
    <w:multiLevelType w:val="multilevel"/>
    <w:tmpl w:val="A4FE4D5C"/>
    <w:name w:val="zzmpAgreement||Agreement|3|5|1|1|0|41||1|0|33||1|0|0||1|0|0||1|0|0||mpNA||mpNA||mpNA||mpNA||"/>
    <w:lvl w:ilvl="0">
      <w:start w:val="1"/>
      <w:numFmt w:val="decimal"/>
      <w:pStyle w:val="AgreementL1"/>
      <w:lvlText w:val="%1."/>
      <w:lvlJc w:val="left"/>
      <w:pPr>
        <w:tabs>
          <w:tab w:val="num" w:pos="720"/>
        </w:tabs>
        <w:ind w:left="720" w:hanging="720"/>
      </w:pPr>
      <w:rPr>
        <w:rFonts w:ascii="Times New Roman" w:hAnsi="Times New Roman" w:cs="Times New Roman" w:hint="default"/>
        <w:b w:val="0"/>
        <w:i w:val="0"/>
        <w:caps/>
        <w:smallCaps w:val="0"/>
        <w:strike w:val="0"/>
        <w:dstrike w:val="0"/>
        <w:sz w:val="24"/>
        <w:u w:val="none"/>
        <w:effect w:val="none"/>
      </w:rPr>
    </w:lvl>
    <w:lvl w:ilvl="1">
      <w:start w:val="1"/>
      <w:numFmt w:val="decimal"/>
      <w:pStyle w:val="AgreementL2"/>
      <w:isLgl/>
      <w:lvlText w:val="%1.%2"/>
      <w:lvlJc w:val="left"/>
      <w:pPr>
        <w:tabs>
          <w:tab w:val="num" w:pos="720"/>
        </w:tabs>
        <w:ind w:left="720" w:hanging="720"/>
      </w:pPr>
      <w:rPr>
        <w:rFonts w:ascii="Times New Roman" w:hAnsi="Times New Roman" w:cs="Times New Roman" w:hint="default"/>
        <w:b w:val="0"/>
        <w:i w:val="0"/>
        <w:caps w:val="0"/>
        <w:strike w:val="0"/>
        <w:dstrike w:val="0"/>
        <w:color w:val="auto"/>
        <w:sz w:val="24"/>
        <w:u w:val="none"/>
        <w:effect w:val="none"/>
      </w:rPr>
    </w:lvl>
    <w:lvl w:ilvl="2">
      <w:start w:val="1"/>
      <w:numFmt w:val="lowerLetter"/>
      <w:pStyle w:val="AgreementL3"/>
      <w:lvlText w:val="(%3)"/>
      <w:lvlJc w:val="left"/>
      <w:pPr>
        <w:tabs>
          <w:tab w:val="num" w:pos="1440"/>
        </w:tabs>
        <w:ind w:left="1440" w:hanging="720"/>
      </w:pPr>
      <w:rPr>
        <w:rFonts w:ascii="Times New Roman" w:hAnsi="Times New Roman" w:cs="Times New Roman" w:hint="default"/>
        <w:b w:val="0"/>
        <w:i w:val="0"/>
        <w:caps w:val="0"/>
        <w:strike w:val="0"/>
        <w:dstrike w:val="0"/>
        <w:sz w:val="24"/>
        <w:u w:val="none"/>
        <w:effect w:val="none"/>
      </w:rPr>
    </w:lvl>
    <w:lvl w:ilvl="3">
      <w:start w:val="1"/>
      <w:numFmt w:val="lowerRoman"/>
      <w:pStyle w:val="AgreementL4"/>
      <w:lvlText w:val="(%4)"/>
      <w:lvlJc w:val="left"/>
      <w:pPr>
        <w:tabs>
          <w:tab w:val="num" w:pos="2160"/>
        </w:tabs>
        <w:ind w:left="2160" w:hanging="720"/>
      </w:pPr>
      <w:rPr>
        <w:rFonts w:ascii="Times New Roman" w:hAnsi="Times New Roman" w:cs="Times New Roman" w:hint="default"/>
        <w:b w:val="0"/>
        <w:i w:val="0"/>
        <w:caps w:val="0"/>
        <w:strike w:val="0"/>
        <w:dstrike w:val="0"/>
        <w:sz w:val="24"/>
        <w:u w:val="none"/>
        <w:effect w:val="none"/>
      </w:rPr>
    </w:lvl>
    <w:lvl w:ilvl="4">
      <w:start w:val="1"/>
      <w:numFmt w:val="upperLetter"/>
      <w:pStyle w:val="AgreementL5"/>
      <w:lvlText w:val="(%5)"/>
      <w:lvlJc w:val="left"/>
      <w:pPr>
        <w:tabs>
          <w:tab w:val="num" w:pos="2880"/>
        </w:tabs>
        <w:ind w:left="2880" w:hanging="720"/>
      </w:pPr>
      <w:rPr>
        <w:rFonts w:ascii="Times New Roman" w:hAnsi="Times New Roman" w:cs="Times New Roman" w:hint="default"/>
        <w:b w:val="0"/>
        <w:i w:val="0"/>
        <w:caps w:val="0"/>
        <w:strike w:val="0"/>
        <w:dstrike w:val="0"/>
        <w:sz w:val="24"/>
        <w:u w:val="none"/>
        <w:effect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0">
    <w:nsid w:val="18F46F6F"/>
    <w:multiLevelType w:val="hybridMultilevel"/>
    <w:tmpl w:val="69AAFBA6"/>
    <w:lvl w:ilvl="0" w:tplc="D778BB5A">
      <w:start w:val="1"/>
      <w:numFmt w:val="decimal"/>
      <w:lvlText w:val="%1."/>
      <w:lvlJc w:val="left"/>
      <w:pPr>
        <w:ind w:left="720" w:hanging="360"/>
      </w:pPr>
      <w:rPr>
        <w:rFonts w:ascii="Times New Roman" w:hAnsi="Times New Roman" w:cs="Times New Roman"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4">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5">
    <w:nsid w:val="385A11DB"/>
    <w:multiLevelType w:val="hybridMultilevel"/>
    <w:tmpl w:val="4600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7">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E337798"/>
    <w:multiLevelType w:val="multilevel"/>
    <w:tmpl w:val="9774C276"/>
    <w:lvl w:ilvl="0">
      <w:start w:val="1"/>
      <w:numFmt w:val="decimal"/>
      <w:suff w:val="space"/>
      <w:lvlText w:val="Chapter %1. "/>
      <w:lvlJc w:val="left"/>
      <w:pPr>
        <w:ind w:left="0" w:firstLine="0"/>
      </w:pPr>
      <w:rPr>
        <w:rFonts w:hint="default"/>
      </w:rPr>
    </w:lvl>
    <w:lvl w:ilvl="1">
      <w:start w:val="1"/>
      <w:numFmt w:val="decimal"/>
      <w:pStyle w:val="Para0"/>
      <w:lvlText w:val="%1.%2"/>
      <w:lvlJc w:val="left"/>
      <w:pPr>
        <w:tabs>
          <w:tab w:val="num" w:pos="454"/>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06D4FC5"/>
    <w:multiLevelType w:val="hybridMultilevel"/>
    <w:tmpl w:val="EDC682EA"/>
    <w:lvl w:ilvl="0" w:tplc="A9907710">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0C67CE"/>
    <w:multiLevelType w:val="hybridMultilevel"/>
    <w:tmpl w:val="93E68D80"/>
    <w:lvl w:ilvl="0" w:tplc="D778BB5A">
      <w:start w:val="1"/>
      <w:numFmt w:val="decimal"/>
      <w:lvlText w:val="%1."/>
      <w:lvlJc w:val="left"/>
      <w:pPr>
        <w:ind w:left="720" w:hanging="360"/>
      </w:pPr>
      <w:rPr>
        <w:rFonts w:ascii="Times New Roman" w:hAnsi="Times New Roman" w:cs="Times New Roman"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2">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3">
    <w:nsid w:val="4A5266CB"/>
    <w:multiLevelType w:val="multilevel"/>
    <w:tmpl w:val="6626232A"/>
    <w:name w:val="zzmpCorrespond||Correspondence|3|5|1|1|0|32||1|0|32||1|0|32||mpNA||mpNA||mpNA||mpNA||mpNA||mpNA||"/>
    <w:lvl w:ilvl="0">
      <w:start w:val="1"/>
      <w:numFmt w:val="decimal"/>
      <w:pStyle w:val="CorrespondL1"/>
      <w:lvlText w:val="%1."/>
      <w:lvlJc w:val="left"/>
      <w:pPr>
        <w:tabs>
          <w:tab w:val="num" w:pos="720"/>
        </w:tabs>
        <w:ind w:left="720" w:hanging="720"/>
      </w:pPr>
      <w:rPr>
        <w:rFonts w:ascii="Times New Roman" w:hAnsi="Times New Roman" w:cs="Times New Roman" w:hint="default"/>
        <w:b w:val="0"/>
        <w:i w:val="0"/>
        <w:caps w:val="0"/>
        <w:strike w:val="0"/>
        <w:dstrike w:val="0"/>
        <w:color w:val="auto"/>
        <w:sz w:val="24"/>
        <w:u w:val="none"/>
        <w:effect w:val="none"/>
      </w:rPr>
    </w:lvl>
    <w:lvl w:ilvl="1">
      <w:start w:val="1"/>
      <w:numFmt w:val="lowerLetter"/>
      <w:pStyle w:val="CorrespondL2"/>
      <w:lvlText w:val="(%2)"/>
      <w:lvlJc w:val="left"/>
      <w:pPr>
        <w:tabs>
          <w:tab w:val="num" w:pos="1440"/>
        </w:tabs>
        <w:ind w:left="1440" w:hanging="720"/>
      </w:pPr>
      <w:rPr>
        <w:rFonts w:ascii="Times New Roman" w:hAnsi="Times New Roman" w:cs="Times New Roman" w:hint="default"/>
        <w:b w:val="0"/>
        <w:i w:val="0"/>
        <w:caps w:val="0"/>
        <w:strike w:val="0"/>
        <w:dstrike w:val="0"/>
        <w:color w:val="auto"/>
        <w:sz w:val="24"/>
        <w:u w:val="none"/>
        <w:effect w:val="none"/>
      </w:rPr>
    </w:lvl>
    <w:lvl w:ilvl="2">
      <w:start w:val="1"/>
      <w:numFmt w:val="lowerRoman"/>
      <w:pStyle w:val="CorrespondL3"/>
      <w:lvlText w:val="(%3)"/>
      <w:lvlJc w:val="left"/>
      <w:pPr>
        <w:tabs>
          <w:tab w:val="num" w:pos="2160"/>
        </w:tabs>
        <w:ind w:left="2160" w:hanging="720"/>
      </w:pPr>
      <w:rPr>
        <w:rFonts w:ascii="Times New Roman" w:hAnsi="Times New Roman" w:cs="Times New Roman" w:hint="default"/>
        <w:b w:val="0"/>
        <w:i w:val="0"/>
        <w:caps w:val="0"/>
        <w:strike w:val="0"/>
        <w:dstrike w:val="0"/>
        <w:color w:val="auto"/>
        <w:sz w:val="24"/>
        <w:u w:val="none"/>
        <w:effect w:val="none"/>
      </w:rPr>
    </w:lvl>
    <w:lvl w:ilvl="3">
      <w:start w:val="1"/>
      <w:numFmt w:val="decimal"/>
      <w:lvlText w:val="(%4)"/>
      <w:lvlJc w:val="left"/>
      <w:pPr>
        <w:tabs>
          <w:tab w:val="num" w:pos="1440"/>
        </w:tabs>
        <w:ind w:left="1440" w:hanging="360"/>
      </w:pPr>
      <w:rPr>
        <w:rFonts w:ascii="Times New Roman" w:hAnsi="Times New Roman" w:cs="Times New Roman" w:hint="default"/>
        <w:sz w:val="24"/>
      </w:rPr>
    </w:lvl>
    <w:lvl w:ilvl="4">
      <w:start w:val="1"/>
      <w:numFmt w:val="lowerLetter"/>
      <w:lvlText w:val="(%5)"/>
      <w:lvlJc w:val="left"/>
      <w:pPr>
        <w:tabs>
          <w:tab w:val="num" w:pos="1800"/>
        </w:tabs>
        <w:ind w:left="1800" w:hanging="360"/>
      </w:pPr>
      <w:rPr>
        <w:rFonts w:ascii="Times New Roman" w:hAnsi="Times New Roman" w:cs="Times New Roman" w:hint="default"/>
        <w:sz w:val="24"/>
      </w:rPr>
    </w:lvl>
    <w:lvl w:ilvl="5">
      <w:start w:val="1"/>
      <w:numFmt w:val="lowerRoman"/>
      <w:lvlText w:val="(%6)"/>
      <w:lvlJc w:val="left"/>
      <w:pPr>
        <w:tabs>
          <w:tab w:val="num" w:pos="2160"/>
        </w:tabs>
        <w:ind w:left="2160" w:hanging="360"/>
      </w:pPr>
      <w:rPr>
        <w:rFonts w:ascii="Times New Roman" w:hAnsi="Times New Roman" w:cs="Times New Roman" w:hint="default"/>
        <w:sz w:val="24"/>
      </w:rPr>
    </w:lvl>
    <w:lvl w:ilvl="6">
      <w:start w:val="1"/>
      <w:numFmt w:val="decimal"/>
      <w:lvlText w:val="%7."/>
      <w:lvlJc w:val="left"/>
      <w:pPr>
        <w:tabs>
          <w:tab w:val="num" w:pos="2520"/>
        </w:tabs>
        <w:ind w:left="2520" w:hanging="360"/>
      </w:pPr>
      <w:rPr>
        <w:rFonts w:ascii="Times New Roman" w:hAnsi="Times New Roman" w:cs="Times New Roman" w:hint="default"/>
        <w:sz w:val="24"/>
      </w:rPr>
    </w:lvl>
    <w:lvl w:ilvl="7">
      <w:start w:val="1"/>
      <w:numFmt w:val="lowerLetter"/>
      <w:lvlText w:val="%8."/>
      <w:lvlJc w:val="left"/>
      <w:pPr>
        <w:tabs>
          <w:tab w:val="num" w:pos="2880"/>
        </w:tabs>
        <w:ind w:left="2880" w:hanging="360"/>
      </w:pPr>
      <w:rPr>
        <w:rFonts w:ascii="Times New Roman" w:hAnsi="Times New Roman" w:cs="Times New Roman" w:hint="default"/>
        <w:sz w:val="24"/>
      </w:rPr>
    </w:lvl>
    <w:lvl w:ilvl="8">
      <w:start w:val="1"/>
      <w:numFmt w:val="lowerRoman"/>
      <w:lvlText w:val="%9."/>
      <w:lvlJc w:val="left"/>
      <w:pPr>
        <w:tabs>
          <w:tab w:val="num" w:pos="3240"/>
        </w:tabs>
        <w:ind w:left="3240" w:hanging="360"/>
      </w:pPr>
      <w:rPr>
        <w:rFonts w:ascii="Times New Roman" w:hAnsi="Times New Roman" w:cs="Times New Roman" w:hint="default"/>
        <w:sz w:val="24"/>
      </w:rPr>
    </w:lvl>
  </w:abstractNum>
  <w:abstractNum w:abstractNumId="24">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5">
    <w:nsid w:val="4C220B75"/>
    <w:multiLevelType w:val="multilevel"/>
    <w:tmpl w:val="717AB038"/>
    <w:lvl w:ilvl="0">
      <w:start w:val="1"/>
      <w:numFmt w:val="decimal"/>
      <w:pStyle w:val="Heading1"/>
      <w:suff w:val="space"/>
      <w:lvlText w:val="%1."/>
      <w:lvlJc w:val="left"/>
      <w:pPr>
        <w:ind w:left="3970" w:firstLine="0"/>
      </w:pPr>
      <w:rPr>
        <w:rFonts w:hint="default"/>
      </w:rPr>
    </w:lvl>
    <w:lvl w:ilvl="1">
      <w:start w:val="1"/>
      <w:numFmt w:val="decimal"/>
      <w:pStyle w:val="Heading2"/>
      <w:suff w:val="space"/>
      <w:lvlText w:val="%1.%2."/>
      <w:lvlJc w:val="left"/>
      <w:pPr>
        <w:ind w:left="3970" w:firstLine="0"/>
      </w:pPr>
      <w:rPr>
        <w:rFonts w:hint="default"/>
      </w:rPr>
    </w:lvl>
    <w:lvl w:ilvl="2">
      <w:start w:val="1"/>
      <w:numFmt w:val="decimal"/>
      <w:pStyle w:val="Heading3"/>
      <w:suff w:val="space"/>
      <w:lvlText w:val="%1.%2.%3."/>
      <w:lvlJc w:val="left"/>
      <w:pPr>
        <w:ind w:left="4650" w:firstLine="0"/>
      </w:pPr>
      <w:rPr>
        <w:rFonts w:hint="default"/>
      </w:rPr>
    </w:lvl>
    <w:lvl w:ilvl="3">
      <w:start w:val="1"/>
      <w:numFmt w:val="none"/>
      <w:pStyle w:val="Heading4"/>
      <w:suff w:val="nothing"/>
      <w:lvlText w:val=""/>
      <w:lvlJc w:val="left"/>
      <w:pPr>
        <w:ind w:left="4650" w:firstLine="0"/>
      </w:pPr>
      <w:rPr>
        <w:rFonts w:hint="default"/>
      </w:rPr>
    </w:lvl>
    <w:lvl w:ilvl="4">
      <w:start w:val="1"/>
      <w:numFmt w:val="none"/>
      <w:pStyle w:val="Heading5"/>
      <w:suff w:val="nothing"/>
      <w:lvlText w:val=""/>
      <w:lvlJc w:val="left"/>
      <w:pPr>
        <w:ind w:left="4650" w:firstLine="0"/>
      </w:pPr>
      <w:rPr>
        <w:rFonts w:hint="default"/>
      </w:rPr>
    </w:lvl>
    <w:lvl w:ilvl="5">
      <w:start w:val="1"/>
      <w:numFmt w:val="none"/>
      <w:pStyle w:val="Heading6"/>
      <w:suff w:val="nothing"/>
      <w:lvlText w:val=""/>
      <w:lvlJc w:val="left"/>
      <w:pPr>
        <w:ind w:left="4650" w:firstLine="0"/>
      </w:pPr>
      <w:rPr>
        <w:rFonts w:hint="default"/>
      </w:rPr>
    </w:lvl>
    <w:lvl w:ilvl="6">
      <w:start w:val="1"/>
      <w:numFmt w:val="upperLetter"/>
      <w:lvlRestart w:val="0"/>
      <w:pStyle w:val="Heading7"/>
      <w:suff w:val="space"/>
      <w:lvlText w:val="Annex %7."/>
      <w:lvlJc w:val="center"/>
      <w:pPr>
        <w:ind w:left="3970" w:firstLine="288"/>
      </w:pPr>
      <w:rPr>
        <w:rFonts w:hint="default"/>
      </w:rPr>
    </w:lvl>
    <w:lvl w:ilvl="7">
      <w:start w:val="1"/>
      <w:numFmt w:val="none"/>
      <w:pStyle w:val="Heading8"/>
      <w:suff w:val="nothing"/>
      <w:lvlText w:val=""/>
      <w:lvlJc w:val="left"/>
      <w:pPr>
        <w:ind w:left="4650" w:firstLine="0"/>
      </w:pPr>
      <w:rPr>
        <w:rFonts w:hint="default"/>
      </w:rPr>
    </w:lvl>
    <w:lvl w:ilvl="8">
      <w:start w:val="1"/>
      <w:numFmt w:val="none"/>
      <w:pStyle w:val="Heading9"/>
      <w:suff w:val="nothing"/>
      <w:lvlText w:val=""/>
      <w:lvlJc w:val="left"/>
      <w:pPr>
        <w:ind w:left="4650" w:firstLine="0"/>
      </w:pPr>
      <w:rPr>
        <w:rFonts w:hint="default"/>
      </w:rPr>
    </w:lvl>
  </w:abstractNum>
  <w:abstractNum w:abstractNumId="26">
    <w:nsid w:val="4C8C6453"/>
    <w:multiLevelType w:val="hybridMultilevel"/>
    <w:tmpl w:val="0B0AD6BE"/>
    <w:lvl w:ilvl="0" w:tplc="A9907710">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9">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3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num w:numId="1">
    <w:abstractNumId w:val="6"/>
  </w:num>
  <w:num w:numId="2">
    <w:abstractNumId w:val="4"/>
  </w:num>
  <w:num w:numId="3">
    <w:abstractNumId w:val="5"/>
  </w:num>
  <w:num w:numId="4">
    <w:abstractNumId w:val="21"/>
  </w:num>
  <w:num w:numId="5">
    <w:abstractNumId w:val="1"/>
  </w:num>
  <w:num w:numId="6">
    <w:abstractNumId w:val="14"/>
  </w:num>
  <w:num w:numId="7">
    <w:abstractNumId w:val="22"/>
  </w:num>
  <w:num w:numId="8">
    <w:abstractNumId w:val="28"/>
  </w:num>
  <w:num w:numId="9">
    <w:abstractNumId w:val="29"/>
  </w:num>
  <w:num w:numId="10">
    <w:abstractNumId w:val="17"/>
  </w:num>
  <w:num w:numId="11">
    <w:abstractNumId w:val="11"/>
  </w:num>
  <w:num w:numId="12">
    <w:abstractNumId w:val="9"/>
  </w:num>
  <w:num w:numId="13">
    <w:abstractNumId w:val="25"/>
  </w:num>
  <w:num w:numId="14">
    <w:abstractNumId w:val="18"/>
  </w:num>
  <w:num w:numId="15">
    <w:abstractNumId w:val="27"/>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5"/>
  </w:num>
  <w:num w:numId="21">
    <w:abstractNumId w:val="2"/>
  </w:num>
  <w:num w:numId="22">
    <w:abstractNumId w:val="0"/>
  </w:num>
  <w:num w:numId="23">
    <w:abstractNumId w:val="26"/>
  </w:num>
  <w:num w:numId="24">
    <w:abstractNumId w:val="19"/>
  </w:num>
  <w:num w:numId="25">
    <w:abstractNumId w:val="10"/>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2"/>
  </w:compat>
  <w:rsids>
    <w:rsidRoot w:val="00E12E3B"/>
    <w:rsid w:val="00005399"/>
    <w:rsid w:val="00011D4C"/>
    <w:rsid w:val="0001214C"/>
    <w:rsid w:val="000126B6"/>
    <w:rsid w:val="0001340F"/>
    <w:rsid w:val="000144F8"/>
    <w:rsid w:val="0001496E"/>
    <w:rsid w:val="00014D2D"/>
    <w:rsid w:val="000154AA"/>
    <w:rsid w:val="00016455"/>
    <w:rsid w:val="00021130"/>
    <w:rsid w:val="000251B9"/>
    <w:rsid w:val="000252BD"/>
    <w:rsid w:val="0002530C"/>
    <w:rsid w:val="00026DD4"/>
    <w:rsid w:val="000308EA"/>
    <w:rsid w:val="0003295F"/>
    <w:rsid w:val="00033198"/>
    <w:rsid w:val="000343F7"/>
    <w:rsid w:val="00034F1B"/>
    <w:rsid w:val="0004146B"/>
    <w:rsid w:val="00045200"/>
    <w:rsid w:val="0004537E"/>
    <w:rsid w:val="00047361"/>
    <w:rsid w:val="0004777B"/>
    <w:rsid w:val="0005019D"/>
    <w:rsid w:val="0005055B"/>
    <w:rsid w:val="00051CB7"/>
    <w:rsid w:val="00055465"/>
    <w:rsid w:val="000606ED"/>
    <w:rsid w:val="00062010"/>
    <w:rsid w:val="00062CDD"/>
    <w:rsid w:val="00063F77"/>
    <w:rsid w:val="0006447F"/>
    <w:rsid w:val="000644BB"/>
    <w:rsid w:val="00064895"/>
    <w:rsid w:val="00071585"/>
    <w:rsid w:val="00072D60"/>
    <w:rsid w:val="00074DA7"/>
    <w:rsid w:val="00077652"/>
    <w:rsid w:val="000777C6"/>
    <w:rsid w:val="00077D37"/>
    <w:rsid w:val="00080B34"/>
    <w:rsid w:val="00080CC5"/>
    <w:rsid w:val="00082123"/>
    <w:rsid w:val="000835D8"/>
    <w:rsid w:val="00090322"/>
    <w:rsid w:val="00093357"/>
    <w:rsid w:val="000934AE"/>
    <w:rsid w:val="00093AF1"/>
    <w:rsid w:val="000972A3"/>
    <w:rsid w:val="00097D04"/>
    <w:rsid w:val="000A2D65"/>
    <w:rsid w:val="000A4D50"/>
    <w:rsid w:val="000A4ECC"/>
    <w:rsid w:val="000B33EF"/>
    <w:rsid w:val="000B4C31"/>
    <w:rsid w:val="000B4D83"/>
    <w:rsid w:val="000B5552"/>
    <w:rsid w:val="000B61CA"/>
    <w:rsid w:val="000B7010"/>
    <w:rsid w:val="000C181E"/>
    <w:rsid w:val="000C5C84"/>
    <w:rsid w:val="000C7F3C"/>
    <w:rsid w:val="000D27FA"/>
    <w:rsid w:val="000D2E0D"/>
    <w:rsid w:val="000D3B1E"/>
    <w:rsid w:val="000D49BE"/>
    <w:rsid w:val="000D4A13"/>
    <w:rsid w:val="000D4A63"/>
    <w:rsid w:val="000D4F79"/>
    <w:rsid w:val="000E261E"/>
    <w:rsid w:val="000E4175"/>
    <w:rsid w:val="000E621E"/>
    <w:rsid w:val="000E6861"/>
    <w:rsid w:val="000F078C"/>
    <w:rsid w:val="000F2AA9"/>
    <w:rsid w:val="000F3CCE"/>
    <w:rsid w:val="000F47C6"/>
    <w:rsid w:val="0010021A"/>
    <w:rsid w:val="0010304E"/>
    <w:rsid w:val="00104BAB"/>
    <w:rsid w:val="0010727A"/>
    <w:rsid w:val="00107536"/>
    <w:rsid w:val="00110792"/>
    <w:rsid w:val="00112A7D"/>
    <w:rsid w:val="001130DE"/>
    <w:rsid w:val="001156E2"/>
    <w:rsid w:val="00117C40"/>
    <w:rsid w:val="001210A6"/>
    <w:rsid w:val="00121C55"/>
    <w:rsid w:val="00124EA7"/>
    <w:rsid w:val="00125CE4"/>
    <w:rsid w:val="00135F9A"/>
    <w:rsid w:val="0013767F"/>
    <w:rsid w:val="00140CD6"/>
    <w:rsid w:val="00143A09"/>
    <w:rsid w:val="00144536"/>
    <w:rsid w:val="00144AAA"/>
    <w:rsid w:val="0014599E"/>
    <w:rsid w:val="00146099"/>
    <w:rsid w:val="0014764C"/>
    <w:rsid w:val="00147EE5"/>
    <w:rsid w:val="001535C6"/>
    <w:rsid w:val="0015541F"/>
    <w:rsid w:val="0015545F"/>
    <w:rsid w:val="00155E65"/>
    <w:rsid w:val="00156910"/>
    <w:rsid w:val="001576DC"/>
    <w:rsid w:val="00157FE1"/>
    <w:rsid w:val="00160A12"/>
    <w:rsid w:val="00160F6B"/>
    <w:rsid w:val="00161385"/>
    <w:rsid w:val="00161665"/>
    <w:rsid w:val="00163866"/>
    <w:rsid w:val="00166AA9"/>
    <w:rsid w:val="00166D01"/>
    <w:rsid w:val="00167C2B"/>
    <w:rsid w:val="00172E7B"/>
    <w:rsid w:val="00173270"/>
    <w:rsid w:val="00175DE2"/>
    <w:rsid w:val="00176EA4"/>
    <w:rsid w:val="00181E63"/>
    <w:rsid w:val="00182F04"/>
    <w:rsid w:val="00184A8D"/>
    <w:rsid w:val="00191D92"/>
    <w:rsid w:val="0019278C"/>
    <w:rsid w:val="00192D69"/>
    <w:rsid w:val="001946EF"/>
    <w:rsid w:val="00195ABC"/>
    <w:rsid w:val="00197635"/>
    <w:rsid w:val="001A0500"/>
    <w:rsid w:val="001A0CE7"/>
    <w:rsid w:val="001A139E"/>
    <w:rsid w:val="001A26C1"/>
    <w:rsid w:val="001A75DB"/>
    <w:rsid w:val="001B0BC0"/>
    <w:rsid w:val="001B195A"/>
    <w:rsid w:val="001B6A98"/>
    <w:rsid w:val="001C5EB1"/>
    <w:rsid w:val="001D0B22"/>
    <w:rsid w:val="001D5E9B"/>
    <w:rsid w:val="001E2433"/>
    <w:rsid w:val="001E6658"/>
    <w:rsid w:val="001F2E97"/>
    <w:rsid w:val="001F4E7D"/>
    <w:rsid w:val="001F568C"/>
    <w:rsid w:val="001F7528"/>
    <w:rsid w:val="002016DC"/>
    <w:rsid w:val="002017D4"/>
    <w:rsid w:val="00203181"/>
    <w:rsid w:val="00204916"/>
    <w:rsid w:val="00204CB6"/>
    <w:rsid w:val="0021741F"/>
    <w:rsid w:val="00217B7B"/>
    <w:rsid w:val="00233FA1"/>
    <w:rsid w:val="0023686F"/>
    <w:rsid w:val="00236AA5"/>
    <w:rsid w:val="00237E4C"/>
    <w:rsid w:val="0024086A"/>
    <w:rsid w:val="00240D9F"/>
    <w:rsid w:val="00244D4C"/>
    <w:rsid w:val="00244E26"/>
    <w:rsid w:val="00245EDF"/>
    <w:rsid w:val="00251677"/>
    <w:rsid w:val="0025216E"/>
    <w:rsid w:val="00253602"/>
    <w:rsid w:val="00253992"/>
    <w:rsid w:val="002542F7"/>
    <w:rsid w:val="00256A0E"/>
    <w:rsid w:val="002570D8"/>
    <w:rsid w:val="0026034D"/>
    <w:rsid w:val="00261519"/>
    <w:rsid w:val="00262675"/>
    <w:rsid w:val="00264866"/>
    <w:rsid w:val="002768AE"/>
    <w:rsid w:val="00276DDE"/>
    <w:rsid w:val="00281715"/>
    <w:rsid w:val="002837E5"/>
    <w:rsid w:val="00284A55"/>
    <w:rsid w:val="00284C0E"/>
    <w:rsid w:val="00285635"/>
    <w:rsid w:val="00286711"/>
    <w:rsid w:val="0029179E"/>
    <w:rsid w:val="00291C89"/>
    <w:rsid w:val="00293CCC"/>
    <w:rsid w:val="002940D4"/>
    <w:rsid w:val="00295CAC"/>
    <w:rsid w:val="0029646F"/>
    <w:rsid w:val="002965A6"/>
    <w:rsid w:val="00296C27"/>
    <w:rsid w:val="002A1171"/>
    <w:rsid w:val="002A1A91"/>
    <w:rsid w:val="002A6730"/>
    <w:rsid w:val="002A6985"/>
    <w:rsid w:val="002B10A9"/>
    <w:rsid w:val="002B13AC"/>
    <w:rsid w:val="002B1EC5"/>
    <w:rsid w:val="002B4300"/>
    <w:rsid w:val="002B4931"/>
    <w:rsid w:val="002C04B1"/>
    <w:rsid w:val="002C05C6"/>
    <w:rsid w:val="002C1490"/>
    <w:rsid w:val="002C2C6E"/>
    <w:rsid w:val="002C6328"/>
    <w:rsid w:val="002C763E"/>
    <w:rsid w:val="002D0A92"/>
    <w:rsid w:val="002D2446"/>
    <w:rsid w:val="002D299F"/>
    <w:rsid w:val="002D3335"/>
    <w:rsid w:val="002D33DD"/>
    <w:rsid w:val="002D3F71"/>
    <w:rsid w:val="002D57CD"/>
    <w:rsid w:val="002E07C7"/>
    <w:rsid w:val="002E1821"/>
    <w:rsid w:val="002E1D3B"/>
    <w:rsid w:val="002E29E1"/>
    <w:rsid w:val="002E3058"/>
    <w:rsid w:val="002E356C"/>
    <w:rsid w:val="002E48B8"/>
    <w:rsid w:val="002E4911"/>
    <w:rsid w:val="002E6A76"/>
    <w:rsid w:val="002E7431"/>
    <w:rsid w:val="002F2049"/>
    <w:rsid w:val="002F254E"/>
    <w:rsid w:val="002F31BD"/>
    <w:rsid w:val="002F3276"/>
    <w:rsid w:val="002F7F49"/>
    <w:rsid w:val="003076F3"/>
    <w:rsid w:val="00312A83"/>
    <w:rsid w:val="00313969"/>
    <w:rsid w:val="00314289"/>
    <w:rsid w:val="003143DD"/>
    <w:rsid w:val="0031793D"/>
    <w:rsid w:val="00317AF7"/>
    <w:rsid w:val="00317F43"/>
    <w:rsid w:val="00325310"/>
    <w:rsid w:val="00327A49"/>
    <w:rsid w:val="00333176"/>
    <w:rsid w:val="003358B9"/>
    <w:rsid w:val="00335ABE"/>
    <w:rsid w:val="00343315"/>
    <w:rsid w:val="00343EAE"/>
    <w:rsid w:val="00346353"/>
    <w:rsid w:val="003463F6"/>
    <w:rsid w:val="00346572"/>
    <w:rsid w:val="00347424"/>
    <w:rsid w:val="0035204A"/>
    <w:rsid w:val="00352081"/>
    <w:rsid w:val="0035286E"/>
    <w:rsid w:val="00353D51"/>
    <w:rsid w:val="00355351"/>
    <w:rsid w:val="0035691B"/>
    <w:rsid w:val="00356B49"/>
    <w:rsid w:val="0036043F"/>
    <w:rsid w:val="003633D5"/>
    <w:rsid w:val="00364FE3"/>
    <w:rsid w:val="00365034"/>
    <w:rsid w:val="003662E5"/>
    <w:rsid w:val="00366F3F"/>
    <w:rsid w:val="00371785"/>
    <w:rsid w:val="00372BE3"/>
    <w:rsid w:val="003732FD"/>
    <w:rsid w:val="003747EE"/>
    <w:rsid w:val="003805A6"/>
    <w:rsid w:val="00380940"/>
    <w:rsid w:val="003820F2"/>
    <w:rsid w:val="00382616"/>
    <w:rsid w:val="00390900"/>
    <w:rsid w:val="00393DB6"/>
    <w:rsid w:val="00396277"/>
    <w:rsid w:val="003A1CBD"/>
    <w:rsid w:val="003A3CCD"/>
    <w:rsid w:val="003A3E50"/>
    <w:rsid w:val="003A7578"/>
    <w:rsid w:val="003B0F4B"/>
    <w:rsid w:val="003B3346"/>
    <w:rsid w:val="003B5362"/>
    <w:rsid w:val="003B79EE"/>
    <w:rsid w:val="003C3631"/>
    <w:rsid w:val="003C57B2"/>
    <w:rsid w:val="003C6757"/>
    <w:rsid w:val="003D1DC9"/>
    <w:rsid w:val="003D6704"/>
    <w:rsid w:val="003D76C8"/>
    <w:rsid w:val="003E32B2"/>
    <w:rsid w:val="003E5468"/>
    <w:rsid w:val="003E6381"/>
    <w:rsid w:val="003E64F5"/>
    <w:rsid w:val="003E65A7"/>
    <w:rsid w:val="003E65FF"/>
    <w:rsid w:val="003E726F"/>
    <w:rsid w:val="003E7DB3"/>
    <w:rsid w:val="003F05AC"/>
    <w:rsid w:val="003F5D07"/>
    <w:rsid w:val="00400B4E"/>
    <w:rsid w:val="00400CDD"/>
    <w:rsid w:val="00401762"/>
    <w:rsid w:val="00401EB2"/>
    <w:rsid w:val="00402C8A"/>
    <w:rsid w:val="0040313A"/>
    <w:rsid w:val="00403AE9"/>
    <w:rsid w:val="004116D7"/>
    <w:rsid w:val="0041210D"/>
    <w:rsid w:val="004125C2"/>
    <w:rsid w:val="00412AB0"/>
    <w:rsid w:val="00413CB5"/>
    <w:rsid w:val="00415F66"/>
    <w:rsid w:val="004171D8"/>
    <w:rsid w:val="004176C5"/>
    <w:rsid w:val="00420875"/>
    <w:rsid w:val="00422172"/>
    <w:rsid w:val="00423466"/>
    <w:rsid w:val="00423C21"/>
    <w:rsid w:val="00424D5E"/>
    <w:rsid w:val="00427AD2"/>
    <w:rsid w:val="00431450"/>
    <w:rsid w:val="00431978"/>
    <w:rsid w:val="00432CE3"/>
    <w:rsid w:val="00434E9E"/>
    <w:rsid w:val="004357DD"/>
    <w:rsid w:val="00437275"/>
    <w:rsid w:val="00437DA5"/>
    <w:rsid w:val="00443B45"/>
    <w:rsid w:val="00445335"/>
    <w:rsid w:val="00446657"/>
    <w:rsid w:val="00450877"/>
    <w:rsid w:val="00451DA6"/>
    <w:rsid w:val="004521F0"/>
    <w:rsid w:val="004538AD"/>
    <w:rsid w:val="00454C2D"/>
    <w:rsid w:val="004550C4"/>
    <w:rsid w:val="00456329"/>
    <w:rsid w:val="004573D9"/>
    <w:rsid w:val="00460298"/>
    <w:rsid w:val="00461F71"/>
    <w:rsid w:val="00461FF8"/>
    <w:rsid w:val="00462B22"/>
    <w:rsid w:val="00463667"/>
    <w:rsid w:val="004657E4"/>
    <w:rsid w:val="0046761F"/>
    <w:rsid w:val="004677C9"/>
    <w:rsid w:val="004705FF"/>
    <w:rsid w:val="00472C43"/>
    <w:rsid w:val="0047379D"/>
    <w:rsid w:val="004809CE"/>
    <w:rsid w:val="004830AE"/>
    <w:rsid w:val="00484CDB"/>
    <w:rsid w:val="00487447"/>
    <w:rsid w:val="00493B40"/>
    <w:rsid w:val="00493C96"/>
    <w:rsid w:val="00493DDF"/>
    <w:rsid w:val="00494A6C"/>
    <w:rsid w:val="00496594"/>
    <w:rsid w:val="004970CD"/>
    <w:rsid w:val="004971B3"/>
    <w:rsid w:val="004A044A"/>
    <w:rsid w:val="004A3731"/>
    <w:rsid w:val="004A3BBF"/>
    <w:rsid w:val="004A3D93"/>
    <w:rsid w:val="004A6045"/>
    <w:rsid w:val="004B08AC"/>
    <w:rsid w:val="004B1A2B"/>
    <w:rsid w:val="004B210A"/>
    <w:rsid w:val="004B51B9"/>
    <w:rsid w:val="004B71E9"/>
    <w:rsid w:val="004C04C1"/>
    <w:rsid w:val="004C080C"/>
    <w:rsid w:val="004C1414"/>
    <w:rsid w:val="004C2FBC"/>
    <w:rsid w:val="004C3E55"/>
    <w:rsid w:val="004C5CA2"/>
    <w:rsid w:val="004C6513"/>
    <w:rsid w:val="004C6C32"/>
    <w:rsid w:val="004D1772"/>
    <w:rsid w:val="004D3271"/>
    <w:rsid w:val="004D3B41"/>
    <w:rsid w:val="004D3DBF"/>
    <w:rsid w:val="004E14EE"/>
    <w:rsid w:val="004E1BF1"/>
    <w:rsid w:val="004E2CBC"/>
    <w:rsid w:val="004E3049"/>
    <w:rsid w:val="004E39B1"/>
    <w:rsid w:val="004E57A9"/>
    <w:rsid w:val="004F1176"/>
    <w:rsid w:val="004F255C"/>
    <w:rsid w:val="004F5E36"/>
    <w:rsid w:val="004F72EA"/>
    <w:rsid w:val="004F7A38"/>
    <w:rsid w:val="005000B0"/>
    <w:rsid w:val="00501218"/>
    <w:rsid w:val="00501DF2"/>
    <w:rsid w:val="005035B1"/>
    <w:rsid w:val="00506A13"/>
    <w:rsid w:val="00511486"/>
    <w:rsid w:val="0051160B"/>
    <w:rsid w:val="00511C95"/>
    <w:rsid w:val="00514147"/>
    <w:rsid w:val="00514153"/>
    <w:rsid w:val="0051758E"/>
    <w:rsid w:val="00517A55"/>
    <w:rsid w:val="00517D33"/>
    <w:rsid w:val="005234D4"/>
    <w:rsid w:val="00523D2F"/>
    <w:rsid w:val="0052535E"/>
    <w:rsid w:val="00527EEC"/>
    <w:rsid w:val="00530172"/>
    <w:rsid w:val="00531344"/>
    <w:rsid w:val="00532B0B"/>
    <w:rsid w:val="005339E4"/>
    <w:rsid w:val="0053494A"/>
    <w:rsid w:val="00536198"/>
    <w:rsid w:val="00540EED"/>
    <w:rsid w:val="00542A55"/>
    <w:rsid w:val="00545D4A"/>
    <w:rsid w:val="0055110D"/>
    <w:rsid w:val="0055192D"/>
    <w:rsid w:val="005621D2"/>
    <w:rsid w:val="00567D60"/>
    <w:rsid w:val="00567E91"/>
    <w:rsid w:val="0057027B"/>
    <w:rsid w:val="00571842"/>
    <w:rsid w:val="00573461"/>
    <w:rsid w:val="005749EB"/>
    <w:rsid w:val="005775AD"/>
    <w:rsid w:val="005811F2"/>
    <w:rsid w:val="0058206A"/>
    <w:rsid w:val="00582167"/>
    <w:rsid w:val="005852D4"/>
    <w:rsid w:val="00587883"/>
    <w:rsid w:val="00590B3F"/>
    <w:rsid w:val="005973AC"/>
    <w:rsid w:val="005A0281"/>
    <w:rsid w:val="005A23B8"/>
    <w:rsid w:val="005A23B9"/>
    <w:rsid w:val="005B048D"/>
    <w:rsid w:val="005B13CF"/>
    <w:rsid w:val="005B1A46"/>
    <w:rsid w:val="005B1A9F"/>
    <w:rsid w:val="005B47D2"/>
    <w:rsid w:val="005B5301"/>
    <w:rsid w:val="005C2C9C"/>
    <w:rsid w:val="005C3138"/>
    <w:rsid w:val="005C3AA4"/>
    <w:rsid w:val="005C3ED9"/>
    <w:rsid w:val="005C57C3"/>
    <w:rsid w:val="005D2C4F"/>
    <w:rsid w:val="005D3986"/>
    <w:rsid w:val="005D3B9E"/>
    <w:rsid w:val="005D4108"/>
    <w:rsid w:val="005D425A"/>
    <w:rsid w:val="005E2362"/>
    <w:rsid w:val="005E375F"/>
    <w:rsid w:val="005E4622"/>
    <w:rsid w:val="005E4DD0"/>
    <w:rsid w:val="005E768C"/>
    <w:rsid w:val="005E77AF"/>
    <w:rsid w:val="005E7FAE"/>
    <w:rsid w:val="005F0151"/>
    <w:rsid w:val="005F09C7"/>
    <w:rsid w:val="005F1EB2"/>
    <w:rsid w:val="005F2678"/>
    <w:rsid w:val="005F6B77"/>
    <w:rsid w:val="006022A9"/>
    <w:rsid w:val="006043CD"/>
    <w:rsid w:val="0060684D"/>
    <w:rsid w:val="00606E98"/>
    <w:rsid w:val="00607D79"/>
    <w:rsid w:val="006103E3"/>
    <w:rsid w:val="0061125B"/>
    <w:rsid w:val="00612837"/>
    <w:rsid w:val="00612F4F"/>
    <w:rsid w:val="00614D6E"/>
    <w:rsid w:val="00620571"/>
    <w:rsid w:val="00620A11"/>
    <w:rsid w:val="00621D11"/>
    <w:rsid w:val="0062574C"/>
    <w:rsid w:val="006278E9"/>
    <w:rsid w:val="0063070F"/>
    <w:rsid w:val="00634867"/>
    <w:rsid w:val="0063663B"/>
    <w:rsid w:val="00637C60"/>
    <w:rsid w:val="0064298D"/>
    <w:rsid w:val="00642C15"/>
    <w:rsid w:val="00645444"/>
    <w:rsid w:val="00647675"/>
    <w:rsid w:val="00650899"/>
    <w:rsid w:val="0065171D"/>
    <w:rsid w:val="006537F6"/>
    <w:rsid w:val="00654B5A"/>
    <w:rsid w:val="006552C7"/>
    <w:rsid w:val="0065709E"/>
    <w:rsid w:val="006572FC"/>
    <w:rsid w:val="00660141"/>
    <w:rsid w:val="00660819"/>
    <w:rsid w:val="00661DAB"/>
    <w:rsid w:val="00662553"/>
    <w:rsid w:val="00664EF4"/>
    <w:rsid w:val="006658C9"/>
    <w:rsid w:val="006660D9"/>
    <w:rsid w:val="00666B1E"/>
    <w:rsid w:val="0066735E"/>
    <w:rsid w:val="006713B6"/>
    <w:rsid w:val="006714F5"/>
    <w:rsid w:val="0067183E"/>
    <w:rsid w:val="00672918"/>
    <w:rsid w:val="00674F7B"/>
    <w:rsid w:val="00675BBB"/>
    <w:rsid w:val="00677F9D"/>
    <w:rsid w:val="006859C8"/>
    <w:rsid w:val="00685A59"/>
    <w:rsid w:val="006867BC"/>
    <w:rsid w:val="006869C8"/>
    <w:rsid w:val="00691C11"/>
    <w:rsid w:val="00692DE1"/>
    <w:rsid w:val="00695474"/>
    <w:rsid w:val="006958A1"/>
    <w:rsid w:val="00695E29"/>
    <w:rsid w:val="00695EA0"/>
    <w:rsid w:val="006A3086"/>
    <w:rsid w:val="006A30DF"/>
    <w:rsid w:val="006A3624"/>
    <w:rsid w:val="006A6645"/>
    <w:rsid w:val="006A69C8"/>
    <w:rsid w:val="006A7ECC"/>
    <w:rsid w:val="006B4DB3"/>
    <w:rsid w:val="006B710D"/>
    <w:rsid w:val="006B7C49"/>
    <w:rsid w:val="006C65DB"/>
    <w:rsid w:val="006C72A7"/>
    <w:rsid w:val="006D1B4B"/>
    <w:rsid w:val="006D25C6"/>
    <w:rsid w:val="006D3454"/>
    <w:rsid w:val="006D42CC"/>
    <w:rsid w:val="006D6039"/>
    <w:rsid w:val="006D6C19"/>
    <w:rsid w:val="006E116B"/>
    <w:rsid w:val="006E2485"/>
    <w:rsid w:val="006E3C00"/>
    <w:rsid w:val="006E7827"/>
    <w:rsid w:val="006F0301"/>
    <w:rsid w:val="006F07A2"/>
    <w:rsid w:val="006F08FF"/>
    <w:rsid w:val="006F2A44"/>
    <w:rsid w:val="006F4A4A"/>
    <w:rsid w:val="006F524D"/>
    <w:rsid w:val="006F730E"/>
    <w:rsid w:val="006F7920"/>
    <w:rsid w:val="00704981"/>
    <w:rsid w:val="00706245"/>
    <w:rsid w:val="00710937"/>
    <w:rsid w:val="00711114"/>
    <w:rsid w:val="00716006"/>
    <w:rsid w:val="00717071"/>
    <w:rsid w:val="00721448"/>
    <w:rsid w:val="00724535"/>
    <w:rsid w:val="0072526E"/>
    <w:rsid w:val="00736666"/>
    <w:rsid w:val="00740027"/>
    <w:rsid w:val="00740742"/>
    <w:rsid w:val="007416CB"/>
    <w:rsid w:val="0074276B"/>
    <w:rsid w:val="007519C1"/>
    <w:rsid w:val="00751A55"/>
    <w:rsid w:val="00752284"/>
    <w:rsid w:val="007544D2"/>
    <w:rsid w:val="00754DEE"/>
    <w:rsid w:val="0076183A"/>
    <w:rsid w:val="0076490C"/>
    <w:rsid w:val="00764A30"/>
    <w:rsid w:val="00771912"/>
    <w:rsid w:val="00771F10"/>
    <w:rsid w:val="007731DC"/>
    <w:rsid w:val="007746C0"/>
    <w:rsid w:val="00774E4D"/>
    <w:rsid w:val="0077708A"/>
    <w:rsid w:val="00781153"/>
    <w:rsid w:val="00782A81"/>
    <w:rsid w:val="0078550C"/>
    <w:rsid w:val="0078684B"/>
    <w:rsid w:val="00786948"/>
    <w:rsid w:val="007877D9"/>
    <w:rsid w:val="007970FA"/>
    <w:rsid w:val="007A0040"/>
    <w:rsid w:val="007A09AC"/>
    <w:rsid w:val="007A172D"/>
    <w:rsid w:val="007A1FA0"/>
    <w:rsid w:val="007A5944"/>
    <w:rsid w:val="007A5EB6"/>
    <w:rsid w:val="007A73DB"/>
    <w:rsid w:val="007A7570"/>
    <w:rsid w:val="007A7704"/>
    <w:rsid w:val="007A78E7"/>
    <w:rsid w:val="007B0B9D"/>
    <w:rsid w:val="007B68E9"/>
    <w:rsid w:val="007C19E2"/>
    <w:rsid w:val="007C5FC1"/>
    <w:rsid w:val="007D0053"/>
    <w:rsid w:val="007D0D9E"/>
    <w:rsid w:val="007D1327"/>
    <w:rsid w:val="007D1813"/>
    <w:rsid w:val="007D57F9"/>
    <w:rsid w:val="007D7AAE"/>
    <w:rsid w:val="007E2B21"/>
    <w:rsid w:val="007E3BD0"/>
    <w:rsid w:val="007E6B2A"/>
    <w:rsid w:val="007E6BDA"/>
    <w:rsid w:val="007E6C14"/>
    <w:rsid w:val="007E6FBD"/>
    <w:rsid w:val="007E7F9B"/>
    <w:rsid w:val="007E7FD9"/>
    <w:rsid w:val="007F1A54"/>
    <w:rsid w:val="007F232E"/>
    <w:rsid w:val="007F442D"/>
    <w:rsid w:val="007F4836"/>
    <w:rsid w:val="007F64B5"/>
    <w:rsid w:val="007F7080"/>
    <w:rsid w:val="00804BFA"/>
    <w:rsid w:val="00804D71"/>
    <w:rsid w:val="00805EB6"/>
    <w:rsid w:val="008068DB"/>
    <w:rsid w:val="00807D5B"/>
    <w:rsid w:val="0081036E"/>
    <w:rsid w:val="008125C1"/>
    <w:rsid w:val="00812A2A"/>
    <w:rsid w:val="00812A59"/>
    <w:rsid w:val="00812BA7"/>
    <w:rsid w:val="0081312E"/>
    <w:rsid w:val="008142B0"/>
    <w:rsid w:val="008143C6"/>
    <w:rsid w:val="00816839"/>
    <w:rsid w:val="0082276D"/>
    <w:rsid w:val="00824283"/>
    <w:rsid w:val="00833845"/>
    <w:rsid w:val="0083583E"/>
    <w:rsid w:val="008368FA"/>
    <w:rsid w:val="008374FF"/>
    <w:rsid w:val="00840546"/>
    <w:rsid w:val="008407D7"/>
    <w:rsid w:val="008437CD"/>
    <w:rsid w:val="008438BE"/>
    <w:rsid w:val="00844EE4"/>
    <w:rsid w:val="00845334"/>
    <w:rsid w:val="008458EC"/>
    <w:rsid w:val="008466AD"/>
    <w:rsid w:val="00847137"/>
    <w:rsid w:val="008475A4"/>
    <w:rsid w:val="00847AC5"/>
    <w:rsid w:val="008519E3"/>
    <w:rsid w:val="00852EED"/>
    <w:rsid w:val="00856650"/>
    <w:rsid w:val="00856B91"/>
    <w:rsid w:val="00860B7A"/>
    <w:rsid w:val="008615B2"/>
    <w:rsid w:val="008623BA"/>
    <w:rsid w:val="0086599C"/>
    <w:rsid w:val="00865F7B"/>
    <w:rsid w:val="00867263"/>
    <w:rsid w:val="00870FEE"/>
    <w:rsid w:val="00871436"/>
    <w:rsid w:val="0087153A"/>
    <w:rsid w:val="00871C67"/>
    <w:rsid w:val="00872A43"/>
    <w:rsid w:val="0087378A"/>
    <w:rsid w:val="008755FF"/>
    <w:rsid w:val="008756D6"/>
    <w:rsid w:val="00875CD2"/>
    <w:rsid w:val="00876C73"/>
    <w:rsid w:val="00877D56"/>
    <w:rsid w:val="00880A6C"/>
    <w:rsid w:val="008818CB"/>
    <w:rsid w:val="00881D8A"/>
    <w:rsid w:val="00883A50"/>
    <w:rsid w:val="008854F2"/>
    <w:rsid w:val="00885CB9"/>
    <w:rsid w:val="0088616B"/>
    <w:rsid w:val="00890E63"/>
    <w:rsid w:val="0089363F"/>
    <w:rsid w:val="00894CAE"/>
    <w:rsid w:val="00897AFA"/>
    <w:rsid w:val="008A0282"/>
    <w:rsid w:val="008A09A4"/>
    <w:rsid w:val="008A2AC6"/>
    <w:rsid w:val="008A2E8A"/>
    <w:rsid w:val="008A2EF4"/>
    <w:rsid w:val="008A4530"/>
    <w:rsid w:val="008B16C3"/>
    <w:rsid w:val="008B3E23"/>
    <w:rsid w:val="008B4377"/>
    <w:rsid w:val="008C028B"/>
    <w:rsid w:val="008C2183"/>
    <w:rsid w:val="008C4304"/>
    <w:rsid w:val="008C586B"/>
    <w:rsid w:val="008D24A3"/>
    <w:rsid w:val="008D4449"/>
    <w:rsid w:val="008E0AC6"/>
    <w:rsid w:val="008E334D"/>
    <w:rsid w:val="008E3896"/>
    <w:rsid w:val="008E38F8"/>
    <w:rsid w:val="008E4121"/>
    <w:rsid w:val="008E56D5"/>
    <w:rsid w:val="008E5E24"/>
    <w:rsid w:val="008E6BA3"/>
    <w:rsid w:val="008F1049"/>
    <w:rsid w:val="008F1145"/>
    <w:rsid w:val="008F2D99"/>
    <w:rsid w:val="008F4854"/>
    <w:rsid w:val="008F68D6"/>
    <w:rsid w:val="008F6B92"/>
    <w:rsid w:val="0090412E"/>
    <w:rsid w:val="00906271"/>
    <w:rsid w:val="00906B63"/>
    <w:rsid w:val="00907979"/>
    <w:rsid w:val="00910856"/>
    <w:rsid w:val="009122A6"/>
    <w:rsid w:val="009124FF"/>
    <w:rsid w:val="00913F62"/>
    <w:rsid w:val="0091791A"/>
    <w:rsid w:val="00920995"/>
    <w:rsid w:val="00921950"/>
    <w:rsid w:val="00923B1C"/>
    <w:rsid w:val="00924A84"/>
    <w:rsid w:val="00925B55"/>
    <w:rsid w:val="00927737"/>
    <w:rsid w:val="00927BF7"/>
    <w:rsid w:val="00932852"/>
    <w:rsid w:val="00934522"/>
    <w:rsid w:val="00935691"/>
    <w:rsid w:val="00936457"/>
    <w:rsid w:val="0093746F"/>
    <w:rsid w:val="009500BB"/>
    <w:rsid w:val="00950DDE"/>
    <w:rsid w:val="00953A30"/>
    <w:rsid w:val="00954320"/>
    <w:rsid w:val="00956472"/>
    <w:rsid w:val="00956635"/>
    <w:rsid w:val="009568B6"/>
    <w:rsid w:val="00956DBE"/>
    <w:rsid w:val="009577D1"/>
    <w:rsid w:val="00961010"/>
    <w:rsid w:val="00961A27"/>
    <w:rsid w:val="00961C2E"/>
    <w:rsid w:val="009635CB"/>
    <w:rsid w:val="0096363D"/>
    <w:rsid w:val="00963B60"/>
    <w:rsid w:val="00965609"/>
    <w:rsid w:val="00966F57"/>
    <w:rsid w:val="009707FD"/>
    <w:rsid w:val="00971ADC"/>
    <w:rsid w:val="00974BF4"/>
    <w:rsid w:val="009762D6"/>
    <w:rsid w:val="00976F53"/>
    <w:rsid w:val="009778B3"/>
    <w:rsid w:val="009821D3"/>
    <w:rsid w:val="00983629"/>
    <w:rsid w:val="009A19BB"/>
    <w:rsid w:val="009A36F4"/>
    <w:rsid w:val="009A4B1E"/>
    <w:rsid w:val="009A520E"/>
    <w:rsid w:val="009A5B36"/>
    <w:rsid w:val="009A7327"/>
    <w:rsid w:val="009B03A9"/>
    <w:rsid w:val="009B2BF6"/>
    <w:rsid w:val="009B397C"/>
    <w:rsid w:val="009B3B73"/>
    <w:rsid w:val="009B3E60"/>
    <w:rsid w:val="009B536B"/>
    <w:rsid w:val="009B7B99"/>
    <w:rsid w:val="009C1FD2"/>
    <w:rsid w:val="009C443B"/>
    <w:rsid w:val="009D1ED5"/>
    <w:rsid w:val="009D2C22"/>
    <w:rsid w:val="009D6F5E"/>
    <w:rsid w:val="009E161D"/>
    <w:rsid w:val="009E16C0"/>
    <w:rsid w:val="009E21DC"/>
    <w:rsid w:val="009E3B87"/>
    <w:rsid w:val="009E4166"/>
    <w:rsid w:val="009E4503"/>
    <w:rsid w:val="009E52F9"/>
    <w:rsid w:val="009E78A0"/>
    <w:rsid w:val="009F0A67"/>
    <w:rsid w:val="009F2B71"/>
    <w:rsid w:val="009F5B4D"/>
    <w:rsid w:val="009F5D4F"/>
    <w:rsid w:val="009F67CF"/>
    <w:rsid w:val="00A04C61"/>
    <w:rsid w:val="00A0613C"/>
    <w:rsid w:val="00A061B2"/>
    <w:rsid w:val="00A10B04"/>
    <w:rsid w:val="00A12F29"/>
    <w:rsid w:val="00A1768F"/>
    <w:rsid w:val="00A20C33"/>
    <w:rsid w:val="00A213DE"/>
    <w:rsid w:val="00A302BA"/>
    <w:rsid w:val="00A30B03"/>
    <w:rsid w:val="00A31D41"/>
    <w:rsid w:val="00A34769"/>
    <w:rsid w:val="00A34FA2"/>
    <w:rsid w:val="00A350EE"/>
    <w:rsid w:val="00A351F3"/>
    <w:rsid w:val="00A3647B"/>
    <w:rsid w:val="00A41A12"/>
    <w:rsid w:val="00A4378B"/>
    <w:rsid w:val="00A45B66"/>
    <w:rsid w:val="00A46C31"/>
    <w:rsid w:val="00A470CD"/>
    <w:rsid w:val="00A50ED4"/>
    <w:rsid w:val="00A51081"/>
    <w:rsid w:val="00A552AE"/>
    <w:rsid w:val="00A56B3A"/>
    <w:rsid w:val="00A61C5C"/>
    <w:rsid w:val="00A65B78"/>
    <w:rsid w:val="00A65BE8"/>
    <w:rsid w:val="00A67F7F"/>
    <w:rsid w:val="00A7274B"/>
    <w:rsid w:val="00A74F78"/>
    <w:rsid w:val="00A754CF"/>
    <w:rsid w:val="00A75DDD"/>
    <w:rsid w:val="00A77EF0"/>
    <w:rsid w:val="00A80F04"/>
    <w:rsid w:val="00A837FD"/>
    <w:rsid w:val="00A85236"/>
    <w:rsid w:val="00A85D29"/>
    <w:rsid w:val="00A86526"/>
    <w:rsid w:val="00A86939"/>
    <w:rsid w:val="00A901C2"/>
    <w:rsid w:val="00A9098D"/>
    <w:rsid w:val="00A92891"/>
    <w:rsid w:val="00A93D79"/>
    <w:rsid w:val="00A94780"/>
    <w:rsid w:val="00A9481D"/>
    <w:rsid w:val="00A95283"/>
    <w:rsid w:val="00AA110B"/>
    <w:rsid w:val="00AA12B1"/>
    <w:rsid w:val="00AA7AA7"/>
    <w:rsid w:val="00AB0948"/>
    <w:rsid w:val="00AB29ED"/>
    <w:rsid w:val="00AB375C"/>
    <w:rsid w:val="00AB3BDC"/>
    <w:rsid w:val="00AB43FF"/>
    <w:rsid w:val="00AB6853"/>
    <w:rsid w:val="00AB6F55"/>
    <w:rsid w:val="00AC072A"/>
    <w:rsid w:val="00AC2493"/>
    <w:rsid w:val="00AC6004"/>
    <w:rsid w:val="00AD06F3"/>
    <w:rsid w:val="00AD45FD"/>
    <w:rsid w:val="00AE0F94"/>
    <w:rsid w:val="00AE2618"/>
    <w:rsid w:val="00AE4700"/>
    <w:rsid w:val="00AE64F8"/>
    <w:rsid w:val="00AF025F"/>
    <w:rsid w:val="00AF2152"/>
    <w:rsid w:val="00AF2B39"/>
    <w:rsid w:val="00AF2DC7"/>
    <w:rsid w:val="00B0148B"/>
    <w:rsid w:val="00B029D4"/>
    <w:rsid w:val="00B029D8"/>
    <w:rsid w:val="00B02BF9"/>
    <w:rsid w:val="00B03B6A"/>
    <w:rsid w:val="00B041FC"/>
    <w:rsid w:val="00B1090A"/>
    <w:rsid w:val="00B15D3B"/>
    <w:rsid w:val="00B17E03"/>
    <w:rsid w:val="00B20B1E"/>
    <w:rsid w:val="00B217CC"/>
    <w:rsid w:val="00B2320A"/>
    <w:rsid w:val="00B30DE9"/>
    <w:rsid w:val="00B326B4"/>
    <w:rsid w:val="00B35CF5"/>
    <w:rsid w:val="00B36E9D"/>
    <w:rsid w:val="00B4052E"/>
    <w:rsid w:val="00B418D3"/>
    <w:rsid w:val="00B42544"/>
    <w:rsid w:val="00B43395"/>
    <w:rsid w:val="00B44C5A"/>
    <w:rsid w:val="00B505C9"/>
    <w:rsid w:val="00B524AE"/>
    <w:rsid w:val="00B54419"/>
    <w:rsid w:val="00B60A4D"/>
    <w:rsid w:val="00B63690"/>
    <w:rsid w:val="00B63C37"/>
    <w:rsid w:val="00B643E3"/>
    <w:rsid w:val="00B705FE"/>
    <w:rsid w:val="00B72175"/>
    <w:rsid w:val="00B7564D"/>
    <w:rsid w:val="00B76151"/>
    <w:rsid w:val="00B77146"/>
    <w:rsid w:val="00B77261"/>
    <w:rsid w:val="00B773CE"/>
    <w:rsid w:val="00B81F4D"/>
    <w:rsid w:val="00B8231A"/>
    <w:rsid w:val="00B83897"/>
    <w:rsid w:val="00B90145"/>
    <w:rsid w:val="00B92D93"/>
    <w:rsid w:val="00B933A0"/>
    <w:rsid w:val="00B935E3"/>
    <w:rsid w:val="00B939BC"/>
    <w:rsid w:val="00B95C8F"/>
    <w:rsid w:val="00B95F3A"/>
    <w:rsid w:val="00B96037"/>
    <w:rsid w:val="00B9650A"/>
    <w:rsid w:val="00B974F6"/>
    <w:rsid w:val="00B97739"/>
    <w:rsid w:val="00B97DE2"/>
    <w:rsid w:val="00BA0BF0"/>
    <w:rsid w:val="00BA1A6B"/>
    <w:rsid w:val="00BA263A"/>
    <w:rsid w:val="00BA2E19"/>
    <w:rsid w:val="00BA31AE"/>
    <w:rsid w:val="00BA5079"/>
    <w:rsid w:val="00BA528B"/>
    <w:rsid w:val="00BA6782"/>
    <w:rsid w:val="00BA7F95"/>
    <w:rsid w:val="00BB0851"/>
    <w:rsid w:val="00BB1B1A"/>
    <w:rsid w:val="00BB4410"/>
    <w:rsid w:val="00BB7950"/>
    <w:rsid w:val="00BC05CF"/>
    <w:rsid w:val="00BC141F"/>
    <w:rsid w:val="00BC1AEF"/>
    <w:rsid w:val="00BC6A3A"/>
    <w:rsid w:val="00BD10E4"/>
    <w:rsid w:val="00BD28BC"/>
    <w:rsid w:val="00BD40EC"/>
    <w:rsid w:val="00BD4E58"/>
    <w:rsid w:val="00BD5C48"/>
    <w:rsid w:val="00BD77ED"/>
    <w:rsid w:val="00BE147C"/>
    <w:rsid w:val="00BE21A6"/>
    <w:rsid w:val="00BE72FC"/>
    <w:rsid w:val="00BE74A1"/>
    <w:rsid w:val="00BE7756"/>
    <w:rsid w:val="00BE7B88"/>
    <w:rsid w:val="00BF2A9A"/>
    <w:rsid w:val="00BF5326"/>
    <w:rsid w:val="00BF54B1"/>
    <w:rsid w:val="00BF5B8F"/>
    <w:rsid w:val="00C01352"/>
    <w:rsid w:val="00C03471"/>
    <w:rsid w:val="00C05D2F"/>
    <w:rsid w:val="00C07D3F"/>
    <w:rsid w:val="00C10EE0"/>
    <w:rsid w:val="00C10F05"/>
    <w:rsid w:val="00C13B2D"/>
    <w:rsid w:val="00C13B83"/>
    <w:rsid w:val="00C14190"/>
    <w:rsid w:val="00C17150"/>
    <w:rsid w:val="00C17F44"/>
    <w:rsid w:val="00C20003"/>
    <w:rsid w:val="00C202D4"/>
    <w:rsid w:val="00C25301"/>
    <w:rsid w:val="00C307FE"/>
    <w:rsid w:val="00C320ED"/>
    <w:rsid w:val="00C34306"/>
    <w:rsid w:val="00C40BB1"/>
    <w:rsid w:val="00C41E49"/>
    <w:rsid w:val="00C41EE1"/>
    <w:rsid w:val="00C4584A"/>
    <w:rsid w:val="00C46850"/>
    <w:rsid w:val="00C5051C"/>
    <w:rsid w:val="00C51858"/>
    <w:rsid w:val="00C53E8B"/>
    <w:rsid w:val="00C6130A"/>
    <w:rsid w:val="00C64F7A"/>
    <w:rsid w:val="00C656DC"/>
    <w:rsid w:val="00C67A59"/>
    <w:rsid w:val="00C7042D"/>
    <w:rsid w:val="00C70F8D"/>
    <w:rsid w:val="00C7180B"/>
    <w:rsid w:val="00C73C22"/>
    <w:rsid w:val="00C77B56"/>
    <w:rsid w:val="00C80BC5"/>
    <w:rsid w:val="00C8204B"/>
    <w:rsid w:val="00C82237"/>
    <w:rsid w:val="00C875A3"/>
    <w:rsid w:val="00C91AB9"/>
    <w:rsid w:val="00C92E14"/>
    <w:rsid w:val="00C92E5D"/>
    <w:rsid w:val="00C965EB"/>
    <w:rsid w:val="00C9774A"/>
    <w:rsid w:val="00CA1519"/>
    <w:rsid w:val="00CA22A5"/>
    <w:rsid w:val="00CA477F"/>
    <w:rsid w:val="00CA6E91"/>
    <w:rsid w:val="00CA7361"/>
    <w:rsid w:val="00CB1F29"/>
    <w:rsid w:val="00CB2717"/>
    <w:rsid w:val="00CB43A8"/>
    <w:rsid w:val="00CB6698"/>
    <w:rsid w:val="00CB6B71"/>
    <w:rsid w:val="00CB7010"/>
    <w:rsid w:val="00CC08C5"/>
    <w:rsid w:val="00CC3CAA"/>
    <w:rsid w:val="00CC5556"/>
    <w:rsid w:val="00CC71CF"/>
    <w:rsid w:val="00CD02B4"/>
    <w:rsid w:val="00CD1B10"/>
    <w:rsid w:val="00CD2F43"/>
    <w:rsid w:val="00CD3401"/>
    <w:rsid w:val="00CD51FA"/>
    <w:rsid w:val="00CD6D93"/>
    <w:rsid w:val="00CD74FC"/>
    <w:rsid w:val="00CE3F9B"/>
    <w:rsid w:val="00CF2221"/>
    <w:rsid w:val="00CF3850"/>
    <w:rsid w:val="00CF6B94"/>
    <w:rsid w:val="00D02FB8"/>
    <w:rsid w:val="00D02FCE"/>
    <w:rsid w:val="00D127F1"/>
    <w:rsid w:val="00D12C90"/>
    <w:rsid w:val="00D12E2F"/>
    <w:rsid w:val="00D16743"/>
    <w:rsid w:val="00D17A1A"/>
    <w:rsid w:val="00D21368"/>
    <w:rsid w:val="00D219E8"/>
    <w:rsid w:val="00D22C1B"/>
    <w:rsid w:val="00D24AAF"/>
    <w:rsid w:val="00D24E99"/>
    <w:rsid w:val="00D307D4"/>
    <w:rsid w:val="00D3383C"/>
    <w:rsid w:val="00D36F5C"/>
    <w:rsid w:val="00D37C63"/>
    <w:rsid w:val="00D40B95"/>
    <w:rsid w:val="00D420BC"/>
    <w:rsid w:val="00D42A46"/>
    <w:rsid w:val="00D43653"/>
    <w:rsid w:val="00D4407E"/>
    <w:rsid w:val="00D46A34"/>
    <w:rsid w:val="00D50BEC"/>
    <w:rsid w:val="00D53499"/>
    <w:rsid w:val="00D5433D"/>
    <w:rsid w:val="00D61098"/>
    <w:rsid w:val="00D61E11"/>
    <w:rsid w:val="00D7291B"/>
    <w:rsid w:val="00D75846"/>
    <w:rsid w:val="00D775A9"/>
    <w:rsid w:val="00D82D51"/>
    <w:rsid w:val="00D85065"/>
    <w:rsid w:val="00D86768"/>
    <w:rsid w:val="00D872CF"/>
    <w:rsid w:val="00D878E0"/>
    <w:rsid w:val="00D92299"/>
    <w:rsid w:val="00D9268E"/>
    <w:rsid w:val="00D95149"/>
    <w:rsid w:val="00D95BAA"/>
    <w:rsid w:val="00D97F40"/>
    <w:rsid w:val="00DA5EAC"/>
    <w:rsid w:val="00DA7852"/>
    <w:rsid w:val="00DB074C"/>
    <w:rsid w:val="00DB1DC8"/>
    <w:rsid w:val="00DB2C8C"/>
    <w:rsid w:val="00DB32D0"/>
    <w:rsid w:val="00DB66FF"/>
    <w:rsid w:val="00DB6F8A"/>
    <w:rsid w:val="00DC2650"/>
    <w:rsid w:val="00DC319B"/>
    <w:rsid w:val="00DC3A05"/>
    <w:rsid w:val="00DC4FA3"/>
    <w:rsid w:val="00DC5CA7"/>
    <w:rsid w:val="00DD1A4B"/>
    <w:rsid w:val="00DD1D4E"/>
    <w:rsid w:val="00DD31D9"/>
    <w:rsid w:val="00DD38D5"/>
    <w:rsid w:val="00DD3F80"/>
    <w:rsid w:val="00DD52A9"/>
    <w:rsid w:val="00DD760E"/>
    <w:rsid w:val="00DE0145"/>
    <w:rsid w:val="00DE0A40"/>
    <w:rsid w:val="00DE2CA7"/>
    <w:rsid w:val="00DE48A2"/>
    <w:rsid w:val="00DE5DB9"/>
    <w:rsid w:val="00DE6B67"/>
    <w:rsid w:val="00DE753E"/>
    <w:rsid w:val="00DE7BB5"/>
    <w:rsid w:val="00DF0E50"/>
    <w:rsid w:val="00DF3B0C"/>
    <w:rsid w:val="00DF5C7D"/>
    <w:rsid w:val="00DF6D4A"/>
    <w:rsid w:val="00E07B45"/>
    <w:rsid w:val="00E103B9"/>
    <w:rsid w:val="00E12E3B"/>
    <w:rsid w:val="00E1512F"/>
    <w:rsid w:val="00E15C9E"/>
    <w:rsid w:val="00E167A4"/>
    <w:rsid w:val="00E16D32"/>
    <w:rsid w:val="00E17E9D"/>
    <w:rsid w:val="00E17F92"/>
    <w:rsid w:val="00E21D1C"/>
    <w:rsid w:val="00E220A8"/>
    <w:rsid w:val="00E24E46"/>
    <w:rsid w:val="00E2586E"/>
    <w:rsid w:val="00E31FF7"/>
    <w:rsid w:val="00E42A3B"/>
    <w:rsid w:val="00E43F36"/>
    <w:rsid w:val="00E44254"/>
    <w:rsid w:val="00E443F3"/>
    <w:rsid w:val="00E4516A"/>
    <w:rsid w:val="00E453D6"/>
    <w:rsid w:val="00E45881"/>
    <w:rsid w:val="00E4660D"/>
    <w:rsid w:val="00E47516"/>
    <w:rsid w:val="00E50DBA"/>
    <w:rsid w:val="00E54EE5"/>
    <w:rsid w:val="00E600AD"/>
    <w:rsid w:val="00E65411"/>
    <w:rsid w:val="00E71862"/>
    <w:rsid w:val="00E7309C"/>
    <w:rsid w:val="00E7551D"/>
    <w:rsid w:val="00E75C44"/>
    <w:rsid w:val="00E77CAB"/>
    <w:rsid w:val="00E77D4A"/>
    <w:rsid w:val="00E8295B"/>
    <w:rsid w:val="00E83067"/>
    <w:rsid w:val="00E833A7"/>
    <w:rsid w:val="00E910CB"/>
    <w:rsid w:val="00E929D3"/>
    <w:rsid w:val="00E94027"/>
    <w:rsid w:val="00E94708"/>
    <w:rsid w:val="00E95DC9"/>
    <w:rsid w:val="00E9652C"/>
    <w:rsid w:val="00EA0DE7"/>
    <w:rsid w:val="00EA23A6"/>
    <w:rsid w:val="00EA2B7F"/>
    <w:rsid w:val="00EA2CC3"/>
    <w:rsid w:val="00EA33A7"/>
    <w:rsid w:val="00EA6F12"/>
    <w:rsid w:val="00EA70D6"/>
    <w:rsid w:val="00EA71C2"/>
    <w:rsid w:val="00EB02C7"/>
    <w:rsid w:val="00EB0527"/>
    <w:rsid w:val="00EB0A18"/>
    <w:rsid w:val="00EB0DAB"/>
    <w:rsid w:val="00EB2D7D"/>
    <w:rsid w:val="00EB5A1D"/>
    <w:rsid w:val="00EC1476"/>
    <w:rsid w:val="00EC25FA"/>
    <w:rsid w:val="00EC3F84"/>
    <w:rsid w:val="00EC4BE7"/>
    <w:rsid w:val="00EC5521"/>
    <w:rsid w:val="00EC6FDA"/>
    <w:rsid w:val="00EC72D1"/>
    <w:rsid w:val="00ED01EF"/>
    <w:rsid w:val="00ED0AB6"/>
    <w:rsid w:val="00ED4970"/>
    <w:rsid w:val="00EE1A2C"/>
    <w:rsid w:val="00EE1FE9"/>
    <w:rsid w:val="00EE312C"/>
    <w:rsid w:val="00EE3EC3"/>
    <w:rsid w:val="00EE418D"/>
    <w:rsid w:val="00EE53CA"/>
    <w:rsid w:val="00EE5A1C"/>
    <w:rsid w:val="00EE5B1F"/>
    <w:rsid w:val="00EE5C61"/>
    <w:rsid w:val="00EE606C"/>
    <w:rsid w:val="00EE6F22"/>
    <w:rsid w:val="00EF0821"/>
    <w:rsid w:val="00EF0BC9"/>
    <w:rsid w:val="00EF428C"/>
    <w:rsid w:val="00EF4D05"/>
    <w:rsid w:val="00EF6258"/>
    <w:rsid w:val="00F1029B"/>
    <w:rsid w:val="00F1184B"/>
    <w:rsid w:val="00F11A02"/>
    <w:rsid w:val="00F15278"/>
    <w:rsid w:val="00F2056E"/>
    <w:rsid w:val="00F22CC6"/>
    <w:rsid w:val="00F239BB"/>
    <w:rsid w:val="00F2596E"/>
    <w:rsid w:val="00F300D8"/>
    <w:rsid w:val="00F302B9"/>
    <w:rsid w:val="00F322C1"/>
    <w:rsid w:val="00F339E4"/>
    <w:rsid w:val="00F341E2"/>
    <w:rsid w:val="00F34FF4"/>
    <w:rsid w:val="00F35A57"/>
    <w:rsid w:val="00F35B2F"/>
    <w:rsid w:val="00F3614F"/>
    <w:rsid w:val="00F36A44"/>
    <w:rsid w:val="00F373CA"/>
    <w:rsid w:val="00F37ADC"/>
    <w:rsid w:val="00F37D12"/>
    <w:rsid w:val="00F40C92"/>
    <w:rsid w:val="00F45FE1"/>
    <w:rsid w:val="00F514BC"/>
    <w:rsid w:val="00F51F29"/>
    <w:rsid w:val="00F57F63"/>
    <w:rsid w:val="00F6200A"/>
    <w:rsid w:val="00F63F7C"/>
    <w:rsid w:val="00F66BE2"/>
    <w:rsid w:val="00F7154C"/>
    <w:rsid w:val="00F72BD4"/>
    <w:rsid w:val="00F737EF"/>
    <w:rsid w:val="00F756AF"/>
    <w:rsid w:val="00F77817"/>
    <w:rsid w:val="00F81DDB"/>
    <w:rsid w:val="00F832D2"/>
    <w:rsid w:val="00F85327"/>
    <w:rsid w:val="00F85E5F"/>
    <w:rsid w:val="00F8613F"/>
    <w:rsid w:val="00F90981"/>
    <w:rsid w:val="00F9401A"/>
    <w:rsid w:val="00FA0B5A"/>
    <w:rsid w:val="00FA249E"/>
    <w:rsid w:val="00FA310E"/>
    <w:rsid w:val="00FA4662"/>
    <w:rsid w:val="00FA574C"/>
    <w:rsid w:val="00FA672E"/>
    <w:rsid w:val="00FB0995"/>
    <w:rsid w:val="00FB20CC"/>
    <w:rsid w:val="00FB5C92"/>
    <w:rsid w:val="00FB6D6F"/>
    <w:rsid w:val="00FB7E42"/>
    <w:rsid w:val="00FC048D"/>
    <w:rsid w:val="00FC0EA4"/>
    <w:rsid w:val="00FC0F20"/>
    <w:rsid w:val="00FC2441"/>
    <w:rsid w:val="00FC2A31"/>
    <w:rsid w:val="00FC2D4E"/>
    <w:rsid w:val="00FC4C92"/>
    <w:rsid w:val="00FC5148"/>
    <w:rsid w:val="00FD2438"/>
    <w:rsid w:val="00FD3C12"/>
    <w:rsid w:val="00FD3F1E"/>
    <w:rsid w:val="00FE30A5"/>
    <w:rsid w:val="00FE5B71"/>
    <w:rsid w:val="00FE6454"/>
    <w:rsid w:val="00FE6904"/>
    <w:rsid w:val="00FE6A86"/>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Normal Indent" w:uiPriority="99" w:qFormat="1"/>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99"/>
    <w:lsdException w:name="Subtitle" w:semiHidden="0" w:uiPriority="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rsid w:val="002B10A9"/>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1"/>
    <w:link w:val="Heading1Char"/>
    <w:qFormat/>
    <w:rsid w:val="003143DD"/>
    <w:pPr>
      <w:keepNext/>
      <w:keepLines/>
      <w:numPr>
        <w:numId w:val="13"/>
      </w:numPr>
      <w:spacing w:before="1200" w:after="720"/>
      <w:jc w:val="center"/>
      <w:outlineLvl w:val="0"/>
    </w:pPr>
    <w:rPr>
      <w:b/>
      <w:bCs/>
      <w:color w:val="4E81BD"/>
      <w:kern w:val="28"/>
      <w:sz w:val="28"/>
    </w:rPr>
  </w:style>
  <w:style w:type="paragraph" w:styleId="Heading2">
    <w:name w:val="heading 2"/>
    <w:basedOn w:val="Normal"/>
    <w:next w:val="Para1"/>
    <w:link w:val="Heading2Char"/>
    <w:qFormat/>
    <w:rsid w:val="004521F0"/>
    <w:pPr>
      <w:keepNext/>
      <w:numPr>
        <w:ilvl w:val="1"/>
        <w:numId w:val="13"/>
      </w:numPr>
      <w:spacing w:before="240" w:after="240"/>
      <w:ind w:right="680"/>
      <w:jc w:val="left"/>
      <w:outlineLvl w:val="1"/>
    </w:pPr>
    <w:rPr>
      <w:b/>
      <w:bCs/>
      <w:color w:val="4E81BD"/>
      <w:sz w:val="24"/>
    </w:rPr>
  </w:style>
  <w:style w:type="paragraph" w:styleId="Heading3">
    <w:name w:val="heading 3"/>
    <w:basedOn w:val="Normal"/>
    <w:next w:val="Para1"/>
    <w:link w:val="Heading3Char"/>
    <w:uiPriority w:val="9"/>
    <w:qFormat/>
    <w:rsid w:val="00F6200A"/>
    <w:pPr>
      <w:keepNext/>
      <w:keepLines/>
      <w:numPr>
        <w:ilvl w:val="2"/>
        <w:numId w:val="13"/>
      </w:numPr>
      <w:spacing w:before="240" w:after="120"/>
      <w:ind w:right="680"/>
      <w:jc w:val="left"/>
      <w:outlineLvl w:val="2"/>
    </w:pPr>
    <w:rPr>
      <w:b/>
      <w:bCs/>
      <w:i/>
      <w:iCs/>
      <w:color w:val="262626"/>
      <w:sz w:val="24"/>
    </w:rPr>
  </w:style>
  <w:style w:type="paragraph" w:styleId="Heading4">
    <w:name w:val="heading 4"/>
    <w:basedOn w:val="Normal"/>
    <w:next w:val="Para1"/>
    <w:link w:val="Heading4Char"/>
    <w:uiPriority w:val="9"/>
    <w:qFormat/>
    <w:rsid w:val="00F6200A"/>
    <w:pPr>
      <w:keepNext/>
      <w:keepLines/>
      <w:numPr>
        <w:ilvl w:val="3"/>
        <w:numId w:val="13"/>
      </w:numPr>
      <w:spacing w:before="240" w:after="120"/>
      <w:ind w:right="680"/>
      <w:jc w:val="left"/>
      <w:outlineLvl w:val="3"/>
    </w:pPr>
    <w:rPr>
      <w:i/>
      <w:iCs/>
      <w:color w:val="000000" w:themeColor="text1"/>
      <w:sz w:val="24"/>
    </w:rPr>
  </w:style>
  <w:style w:type="paragraph" w:styleId="Heading5">
    <w:name w:val="heading 5"/>
    <w:basedOn w:val="Normal"/>
    <w:next w:val="Para1"/>
    <w:link w:val="Heading5Char"/>
    <w:uiPriority w:val="9"/>
    <w:qFormat/>
    <w:rsid w:val="00F6200A"/>
    <w:pPr>
      <w:keepNext/>
      <w:keepLines/>
      <w:numPr>
        <w:ilvl w:val="4"/>
        <w:numId w:val="13"/>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qFormat/>
    <w:rsid w:val="009E78A0"/>
    <w:pPr>
      <w:keepNext/>
      <w:numPr>
        <w:ilvl w:val="5"/>
        <w:numId w:val="13"/>
      </w:numPr>
      <w:spacing w:before="1200" w:after="720"/>
      <w:jc w:val="center"/>
      <w:outlineLvl w:val="5"/>
    </w:pPr>
    <w:rPr>
      <w:b/>
      <w:color w:val="4E81BD"/>
      <w:sz w:val="28"/>
    </w:rPr>
  </w:style>
  <w:style w:type="paragraph" w:styleId="Heading7">
    <w:name w:val="heading 7"/>
    <w:aliases w:val="Doc AnnX"/>
    <w:basedOn w:val="Normal"/>
    <w:next w:val="Para1"/>
    <w:link w:val="Heading7Char"/>
    <w:qFormat/>
    <w:rsid w:val="009E78A0"/>
    <w:pPr>
      <w:keepNext/>
      <w:numPr>
        <w:ilvl w:val="6"/>
        <w:numId w:val="13"/>
      </w:numPr>
      <w:spacing w:before="1200" w:after="720"/>
      <w:jc w:val="center"/>
      <w:outlineLvl w:val="6"/>
    </w:pPr>
    <w:rPr>
      <w:b/>
      <w:color w:val="4E81BD"/>
      <w:sz w:val="28"/>
    </w:rPr>
  </w:style>
  <w:style w:type="paragraph" w:styleId="Heading8">
    <w:name w:val="heading 8"/>
    <w:aliases w:val="Part AnnX"/>
    <w:basedOn w:val="Heading7"/>
    <w:next w:val="Para1"/>
    <w:link w:val="Heading8Char"/>
    <w:qFormat/>
    <w:rsid w:val="009E78A0"/>
    <w:pPr>
      <w:numPr>
        <w:ilvl w:val="7"/>
      </w:numPr>
      <w:ind w:left="0"/>
      <w:outlineLvl w:val="7"/>
    </w:pPr>
  </w:style>
  <w:style w:type="paragraph" w:styleId="Heading9">
    <w:name w:val="heading 9"/>
    <w:aliases w:val="Chap AnnX"/>
    <w:basedOn w:val="Heading8"/>
    <w:next w:val="Para1"/>
    <w:link w:val="Heading9Char"/>
    <w:qFormat/>
    <w:rsid w:val="009E78A0"/>
    <w:pPr>
      <w:numPr>
        <w:ilvl w:val="8"/>
      </w:num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6C5"/>
    <w:rPr>
      <w:rFonts w:ascii="Times New Roman" w:hAnsi="Times New Roman"/>
      <w:b/>
      <w:bCs/>
      <w:color w:val="4E81BD"/>
      <w:kern w:val="28"/>
      <w:sz w:val="28"/>
      <w:lang w:val="en-GB"/>
    </w:rPr>
  </w:style>
  <w:style w:type="character" w:customStyle="1" w:styleId="Heading2Char">
    <w:name w:val="Heading 2 Char"/>
    <w:basedOn w:val="DefaultParagraphFont"/>
    <w:link w:val="Heading2"/>
    <w:uiPriority w:val="9"/>
    <w:rsid w:val="004176C5"/>
    <w:rPr>
      <w:rFonts w:ascii="Times New Roman" w:hAnsi="Times New Roman"/>
      <w:b/>
      <w:bCs/>
      <w:color w:val="4E81BD"/>
      <w:sz w:val="24"/>
      <w:lang w:val="en-GB"/>
    </w:rPr>
  </w:style>
  <w:style w:type="character" w:customStyle="1" w:styleId="Heading3Char">
    <w:name w:val="Heading 3 Char"/>
    <w:basedOn w:val="DefaultParagraphFont"/>
    <w:link w:val="Heading3"/>
    <w:uiPriority w:val="9"/>
    <w:rsid w:val="004176C5"/>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9"/>
    <w:rsid w:val="00F6200A"/>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9"/>
    <w:rsid w:val="00F6200A"/>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rsid w:val="009E78A0"/>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rsid w:val="009E78A0"/>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rsid w:val="009E78A0"/>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rsid w:val="009E78A0"/>
    <w:rPr>
      <w:rFonts w:ascii="Times New Roman" w:hAnsi="Times New Roman"/>
      <w:b/>
      <w:color w:val="4E81BD"/>
      <w:sz w:val="28"/>
      <w:lang w:val="en-GB"/>
    </w:rPr>
  </w:style>
  <w:style w:type="paragraph" w:styleId="TOC1">
    <w:name w:val="toc 1"/>
    <w:basedOn w:val="Normal"/>
    <w:next w:val="Normal"/>
    <w:uiPriority w:val="39"/>
    <w:unhideWhenUsed/>
    <w:qFormat/>
    <w:rsid w:val="00C13B2D"/>
    <w:pPr>
      <w:tabs>
        <w:tab w:val="clear" w:pos="850"/>
        <w:tab w:val="clear" w:pos="1191"/>
        <w:tab w:val="clear" w:pos="1531"/>
        <w:tab w:val="right" w:leader="dot" w:pos="9072"/>
      </w:tabs>
      <w:spacing w:before="120" w:after="120"/>
    </w:pPr>
    <w:rPr>
      <w:b/>
    </w:rPr>
  </w:style>
  <w:style w:type="paragraph" w:styleId="TOC2">
    <w:name w:val="toc 2"/>
    <w:basedOn w:val="Normal"/>
    <w:next w:val="Normal"/>
    <w:uiPriority w:val="39"/>
    <w:unhideWhenUsed/>
    <w:qFormat/>
    <w:rsid w:val="000251B9"/>
    <w:pPr>
      <w:tabs>
        <w:tab w:val="clear" w:pos="850"/>
        <w:tab w:val="clear" w:pos="1191"/>
        <w:tab w:val="clear" w:pos="1531"/>
        <w:tab w:val="right" w:leader="dot" w:pos="9072"/>
      </w:tabs>
      <w:ind w:left="198"/>
    </w:pPr>
  </w:style>
  <w:style w:type="paragraph" w:styleId="TOC3">
    <w:name w:val="toc 3"/>
    <w:basedOn w:val="Normal"/>
    <w:next w:val="Normal"/>
    <w:uiPriority w:val="39"/>
    <w:unhideWhenUsed/>
    <w:qFormat/>
    <w:rsid w:val="000251B9"/>
    <w:pPr>
      <w:tabs>
        <w:tab w:val="clear" w:pos="850"/>
        <w:tab w:val="clear" w:pos="1191"/>
        <w:tab w:val="clear" w:pos="1531"/>
        <w:tab w:val="right" w:leader="dot" w:pos="9072"/>
      </w:tabs>
      <w:ind w:left="397"/>
    </w:pPr>
  </w:style>
  <w:style w:type="paragraph" w:styleId="TOC4">
    <w:name w:val="toc 4"/>
    <w:basedOn w:val="Normal"/>
    <w:next w:val="Normal"/>
    <w:uiPriority w:val="39"/>
    <w:qFormat/>
    <w:rsid w:val="000251B9"/>
    <w:pPr>
      <w:tabs>
        <w:tab w:val="clear" w:pos="850"/>
        <w:tab w:val="clear" w:pos="1191"/>
        <w:tab w:val="clear" w:pos="1531"/>
        <w:tab w:val="right" w:leader="dot" w:pos="9072"/>
      </w:tabs>
      <w:ind w:left="595"/>
    </w:pPr>
    <w:rPr>
      <w:noProof/>
    </w:rPr>
  </w:style>
  <w:style w:type="paragraph" w:styleId="TOC5">
    <w:name w:val="toc 5"/>
    <w:basedOn w:val="Normal"/>
    <w:next w:val="Normal"/>
    <w:qFormat/>
    <w:rsid w:val="000251B9"/>
    <w:pPr>
      <w:tabs>
        <w:tab w:val="clear" w:pos="850"/>
        <w:tab w:val="clear" w:pos="1191"/>
        <w:tab w:val="clear" w:pos="1531"/>
        <w:tab w:val="right" w:leader="dot" w:pos="9072"/>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CaptionSubtitle"/>
    <w:qFormat/>
    <w:rsid w:val="00026DD4"/>
    <w:pPr>
      <w:keepNext/>
      <w:spacing w:before="240" w:after="240"/>
      <w:ind w:left="680" w:right="680"/>
      <w:jc w:val="center"/>
    </w:pPr>
    <w:rPr>
      <w:b/>
      <w:bCs/>
      <w:sz w:val="20"/>
    </w:rPr>
  </w:style>
  <w:style w:type="paragraph" w:styleId="Title">
    <w:name w:val="Title"/>
    <w:basedOn w:val="Normal"/>
    <w:next w:val="Para1"/>
    <w:link w:val="TitleChar"/>
    <w:qFormat/>
    <w:rsid w:val="00184A8D"/>
    <w:pPr>
      <w:keepNext/>
      <w:keepLines/>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184A8D"/>
    <w:rPr>
      <w:rFonts w:ascii="Times New Roman" w:hAnsi="Times New Roman" w:cs="Arial"/>
      <w:bCs/>
      <w:i/>
      <w:color w:val="4E81BD"/>
      <w:kern w:val="28"/>
      <w:sz w:val="32"/>
      <w:szCs w:val="32"/>
      <w:lang w:val="en-GB"/>
    </w:rPr>
  </w:style>
  <w:style w:type="paragraph" w:styleId="Subtitle">
    <w:name w:val="Subtitle"/>
    <w:basedOn w:val="Normal"/>
    <w:next w:val="Para1"/>
    <w:link w:val="SubtitleChar"/>
    <w:uiPriority w:val="1"/>
    <w:qFormat/>
    <w:rsid w:val="00637C60"/>
    <w:pPr>
      <w:spacing w:after="240"/>
      <w:jc w:val="center"/>
    </w:pPr>
    <w:rPr>
      <w:rFonts w:cs="Arial"/>
      <w:sz w:val="24"/>
      <w:szCs w:val="24"/>
    </w:rPr>
  </w:style>
  <w:style w:type="character" w:customStyle="1" w:styleId="SubtitleChar">
    <w:name w:val="Subtitle Char"/>
    <w:basedOn w:val="DefaultParagraphFont"/>
    <w:link w:val="Subtitle"/>
    <w:uiPriority w:val="1"/>
    <w:rsid w:val="002B10A9"/>
    <w:rPr>
      <w:rFonts w:ascii="Times New Roman" w:hAnsi="Times New Roman" w:cs="Arial"/>
      <w:sz w:val="24"/>
      <w:szCs w:val="24"/>
      <w:lang w:val="en-GB"/>
    </w:rPr>
  </w:style>
  <w:style w:type="paragraph" w:styleId="Header">
    <w:name w:val="header"/>
    <w:basedOn w:val="Normal"/>
    <w:link w:val="HeaderChar"/>
    <w:uiPriority w:val="99"/>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7A09AC"/>
    <w:rPr>
      <w:rFonts w:ascii="Times New Roman" w:hAnsi="Times New Roman"/>
      <w:lang w:val="en-GB"/>
    </w:rPr>
  </w:style>
  <w:style w:type="paragraph" w:styleId="Footer">
    <w:name w:val="footer"/>
    <w:basedOn w:val="Normal"/>
    <w:link w:val="FooterChar"/>
    <w:uiPriority w:val="99"/>
    <w:unhideWhenUsed/>
    <w:rsid w:val="00125CE4"/>
    <w:pPr>
      <w:tabs>
        <w:tab w:val="clear" w:pos="850"/>
        <w:tab w:val="clear" w:pos="1191"/>
        <w:tab w:val="clear" w:pos="1531"/>
      </w:tabs>
      <w:jc w:val="center"/>
    </w:pPr>
    <w:rPr>
      <w:sz w:val="16"/>
    </w:rPr>
  </w:style>
  <w:style w:type="character" w:customStyle="1" w:styleId="FooterChar">
    <w:name w:val="Footer Char"/>
    <w:basedOn w:val="DefaultParagraphFont"/>
    <w:link w:val="Footer"/>
    <w:uiPriority w:val="99"/>
    <w:rsid w:val="00125CE4"/>
    <w:rPr>
      <w:rFonts w:ascii="Times New Roman" w:hAnsi="Times New Roman"/>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rsid w:val="0074276B"/>
    <w:rPr>
      <w:rFonts w:eastAsia="SimSun"/>
    </w:rPr>
  </w:style>
  <w:style w:type="paragraph" w:customStyle="1" w:styleId="TableCell">
    <w:name w:val="Table Cell"/>
    <w:basedOn w:val="Normal"/>
    <w:uiPriority w:val="10"/>
    <w:qFormat/>
    <w:rsid w:val="005D3986"/>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264866"/>
    <w:pPr>
      <w:ind w:left="1360" w:right="680" w:hanging="680"/>
    </w:pPr>
  </w:style>
  <w:style w:type="character" w:customStyle="1" w:styleId="EndnoteTextChar">
    <w:name w:val="Endnote Text Char"/>
    <w:basedOn w:val="DefaultParagraphFont"/>
    <w:link w:val="EndnoteText"/>
    <w:semiHidden/>
    <w:rsid w:val="00264866"/>
    <w:rPr>
      <w:rFonts w:ascii="Times New Roman" w:eastAsia="SimSun" w:hAnsi="Times New Roman"/>
      <w:lang w:val="en-GB"/>
    </w:rPr>
  </w:style>
  <w:style w:type="paragraph" w:customStyle="1" w:styleId="CaptionSubtitle">
    <w:name w:val="Caption Subtitle"/>
    <w:basedOn w:val="Normal"/>
    <w:next w:val="Para1"/>
    <w:uiPriority w:val="7"/>
    <w:rsid w:val="00365034"/>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rsid w:val="0010021A"/>
    <w:rPr>
      <w:rFonts w:ascii="Times New Roman" w:hAnsi="Times New Roman"/>
      <w:i w:val="0"/>
      <w:position w:val="0"/>
      <w:sz w:val="22"/>
      <w:vertAlign w:val="superscript"/>
    </w:rPr>
  </w:style>
  <w:style w:type="paragraph" w:styleId="FootnoteText">
    <w:name w:val="footnote text"/>
    <w:basedOn w:val="Normal"/>
    <w:link w:val="FootnoteTextChar"/>
    <w:rsid w:val="00264866"/>
    <w:pPr>
      <w:tabs>
        <w:tab w:val="clear" w:pos="850"/>
        <w:tab w:val="clear" w:pos="1191"/>
        <w:tab w:val="clear" w:pos="1531"/>
      </w:tabs>
      <w:spacing w:after="120"/>
      <w:ind w:left="851" w:hanging="851"/>
    </w:pPr>
    <w:rPr>
      <w:rFonts w:eastAsia="SimSun"/>
      <w:sz w:val="20"/>
    </w:rPr>
  </w:style>
  <w:style w:type="character" w:customStyle="1" w:styleId="FootnoteTextChar">
    <w:name w:val="Footnote Text Char"/>
    <w:basedOn w:val="DefaultParagraphFont"/>
    <w:link w:val="FootnoteText"/>
    <w:uiPriority w:val="99"/>
    <w:rsid w:val="00264866"/>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rsid w:val="00156910"/>
    <w:pPr>
      <w:tabs>
        <w:tab w:val="clear" w:pos="850"/>
        <w:tab w:val="clear" w:pos="1191"/>
        <w:tab w:val="clear" w:pos="1531"/>
      </w:tabs>
      <w:ind w:left="850" w:hanging="283"/>
    </w:pPr>
    <w:rPr>
      <w:rFonts w:eastAsia="SimSun"/>
    </w:rPr>
  </w:style>
  <w:style w:type="paragraph" w:styleId="List2">
    <w:name w:val="List 2"/>
    <w:basedOn w:val="Normal"/>
    <w:rsid w:val="00156910"/>
    <w:pPr>
      <w:tabs>
        <w:tab w:val="clear" w:pos="850"/>
        <w:tab w:val="clear" w:pos="1191"/>
        <w:tab w:val="clear" w:pos="1531"/>
      </w:tabs>
      <w:ind w:left="1134" w:hanging="283"/>
    </w:pPr>
    <w:rPr>
      <w:rFonts w:eastAsia="SimSun"/>
    </w:rPr>
  </w:style>
  <w:style w:type="paragraph" w:styleId="List3">
    <w:name w:val="List 3"/>
    <w:basedOn w:val="Normal"/>
    <w:rsid w:val="00156910"/>
    <w:pPr>
      <w:tabs>
        <w:tab w:val="clear" w:pos="850"/>
        <w:tab w:val="clear" w:pos="1191"/>
        <w:tab w:val="clear" w:pos="1531"/>
      </w:tabs>
      <w:ind w:left="1417" w:hanging="283"/>
    </w:pPr>
    <w:rPr>
      <w:rFonts w:eastAsia="SimSun"/>
    </w:rPr>
  </w:style>
  <w:style w:type="paragraph" w:styleId="List4">
    <w:name w:val="List 4"/>
    <w:basedOn w:val="Normal"/>
    <w:rsid w:val="00156910"/>
    <w:pPr>
      <w:tabs>
        <w:tab w:val="clear" w:pos="850"/>
        <w:tab w:val="clear" w:pos="1191"/>
        <w:tab w:val="clear" w:pos="1531"/>
      </w:tabs>
      <w:jc w:val="left"/>
    </w:pPr>
    <w:rPr>
      <w:rFonts w:eastAsia="SimSun"/>
    </w:rPr>
  </w:style>
  <w:style w:type="paragraph" w:styleId="List5">
    <w:name w:val="List 5"/>
    <w:basedOn w:val="Normal"/>
    <w:rsid w:val="00156910"/>
    <w:pPr>
      <w:tabs>
        <w:tab w:val="clear" w:pos="850"/>
        <w:tab w:val="clear" w:pos="1191"/>
        <w:tab w:val="clear" w:pos="1531"/>
      </w:tabs>
      <w:ind w:left="1984" w:hanging="283"/>
    </w:pPr>
    <w:rPr>
      <w:rFonts w:eastAsia="SimSun"/>
    </w:rPr>
  </w:style>
  <w:style w:type="paragraph" w:styleId="ListBullet">
    <w:name w:val="List Bullet"/>
    <w:basedOn w:val="Normal"/>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rsid w:val="00156910"/>
    <w:pPr>
      <w:numPr>
        <w:numId w:val="6"/>
      </w:numPr>
      <w:tabs>
        <w:tab w:val="clear" w:pos="850"/>
        <w:tab w:val="clear" w:pos="1531"/>
      </w:tabs>
    </w:pPr>
    <w:rPr>
      <w:rFonts w:eastAsia="SimSun"/>
    </w:rPr>
  </w:style>
  <w:style w:type="paragraph" w:styleId="ListBullet3">
    <w:name w:val="List Bullet 3"/>
    <w:basedOn w:val="Normal"/>
    <w:rsid w:val="00156910"/>
    <w:pPr>
      <w:numPr>
        <w:numId w:val="7"/>
      </w:numPr>
      <w:tabs>
        <w:tab w:val="clear" w:pos="850"/>
        <w:tab w:val="clear" w:pos="1191"/>
        <w:tab w:val="clear" w:pos="1531"/>
      </w:tabs>
    </w:pPr>
    <w:rPr>
      <w:rFonts w:eastAsia="SimSun"/>
    </w:rPr>
  </w:style>
  <w:style w:type="paragraph" w:styleId="ListBullet4">
    <w:name w:val="List Bullet 4"/>
    <w:basedOn w:val="Normal"/>
    <w:rsid w:val="00156910"/>
    <w:pPr>
      <w:numPr>
        <w:numId w:val="8"/>
      </w:numPr>
      <w:tabs>
        <w:tab w:val="clear" w:pos="850"/>
        <w:tab w:val="clear" w:pos="1191"/>
        <w:tab w:val="clear" w:pos="1531"/>
      </w:tabs>
    </w:pPr>
    <w:rPr>
      <w:rFonts w:eastAsia="SimSun"/>
    </w:rPr>
  </w:style>
  <w:style w:type="paragraph" w:styleId="ListBullet5">
    <w:name w:val="List Bullet 5"/>
    <w:basedOn w:val="Normal"/>
    <w:rsid w:val="00156910"/>
    <w:pPr>
      <w:numPr>
        <w:numId w:val="9"/>
      </w:numPr>
      <w:tabs>
        <w:tab w:val="clear" w:pos="850"/>
        <w:tab w:val="clear" w:pos="1191"/>
        <w:tab w:val="clear" w:pos="1531"/>
      </w:tabs>
    </w:pPr>
    <w:rPr>
      <w:rFonts w:eastAsia="SimSun"/>
    </w:rPr>
  </w:style>
  <w:style w:type="paragraph" w:styleId="ListContinue">
    <w:name w:val="List Continue"/>
    <w:basedOn w:val="Normal"/>
    <w:rsid w:val="00156910"/>
    <w:pPr>
      <w:tabs>
        <w:tab w:val="clear" w:pos="850"/>
        <w:tab w:val="clear" w:pos="1191"/>
        <w:tab w:val="clear" w:pos="1531"/>
      </w:tabs>
      <w:ind w:left="850"/>
    </w:pPr>
    <w:rPr>
      <w:rFonts w:eastAsia="SimSun"/>
    </w:rPr>
  </w:style>
  <w:style w:type="paragraph" w:styleId="ListContinue2">
    <w:name w:val="List Continue 2"/>
    <w:basedOn w:val="Normal"/>
    <w:rsid w:val="00156910"/>
    <w:pPr>
      <w:tabs>
        <w:tab w:val="clear" w:pos="850"/>
        <w:tab w:val="clear" w:pos="1191"/>
        <w:tab w:val="clear" w:pos="1531"/>
      </w:tabs>
      <w:ind w:left="1191"/>
    </w:pPr>
    <w:rPr>
      <w:rFonts w:eastAsia="SimSun"/>
    </w:rPr>
  </w:style>
  <w:style w:type="paragraph" w:styleId="ListContinue3">
    <w:name w:val="List Continue 3"/>
    <w:basedOn w:val="Normal"/>
    <w:rsid w:val="00156910"/>
    <w:pPr>
      <w:tabs>
        <w:tab w:val="clear" w:pos="850"/>
        <w:tab w:val="clear" w:pos="1191"/>
        <w:tab w:val="clear" w:pos="1531"/>
      </w:tabs>
      <w:ind w:left="1474"/>
    </w:pPr>
    <w:rPr>
      <w:rFonts w:eastAsia="SimSun"/>
    </w:rPr>
  </w:style>
  <w:style w:type="paragraph" w:styleId="ListContinue4">
    <w:name w:val="List Continue 4"/>
    <w:basedOn w:val="Normal"/>
    <w:rsid w:val="00156910"/>
    <w:pPr>
      <w:tabs>
        <w:tab w:val="clear" w:pos="850"/>
        <w:tab w:val="clear" w:pos="1191"/>
        <w:tab w:val="clear" w:pos="1531"/>
      </w:tabs>
      <w:ind w:left="1757"/>
    </w:pPr>
    <w:rPr>
      <w:rFonts w:eastAsia="SimSun"/>
    </w:rPr>
  </w:style>
  <w:style w:type="paragraph" w:styleId="ListContinue5">
    <w:name w:val="List Continue 5"/>
    <w:basedOn w:val="Normal"/>
    <w:rsid w:val="00156910"/>
    <w:pPr>
      <w:tabs>
        <w:tab w:val="clear" w:pos="850"/>
        <w:tab w:val="clear" w:pos="1191"/>
        <w:tab w:val="clear" w:pos="1531"/>
      </w:tabs>
      <w:ind w:left="2041"/>
    </w:pPr>
    <w:rPr>
      <w:rFonts w:eastAsia="SimSun"/>
    </w:rPr>
  </w:style>
  <w:style w:type="paragraph" w:styleId="ListNumber">
    <w:name w:val="List Number"/>
    <w:basedOn w:val="Normal"/>
    <w:rsid w:val="00156910"/>
    <w:pPr>
      <w:numPr>
        <w:numId w:val="10"/>
      </w:numPr>
      <w:tabs>
        <w:tab w:val="clear" w:pos="1191"/>
        <w:tab w:val="clear" w:pos="1531"/>
        <w:tab w:val="left" w:pos="1134"/>
      </w:tabs>
    </w:pPr>
    <w:rPr>
      <w:rFonts w:eastAsia="SimSun"/>
    </w:rPr>
  </w:style>
  <w:style w:type="paragraph" w:styleId="ListNumber2">
    <w:name w:val="List Number 2"/>
    <w:basedOn w:val="Normal"/>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3A3E50"/>
    <w:pPr>
      <w:keepLines/>
      <w:tabs>
        <w:tab w:val="clear" w:pos="850"/>
        <w:tab w:val="clear" w:pos="1191"/>
        <w:tab w:val="clear" w:pos="1531"/>
      </w:tabs>
      <w:spacing w:after="240"/>
      <w:ind w:left="680" w:right="680"/>
      <w:contextualSpacing/>
    </w:pPr>
    <w:rPr>
      <w:rFonts w:eastAsia="SimSun" w:cs="Arial"/>
      <w:sz w:val="18"/>
      <w:szCs w:val="18"/>
    </w:rPr>
  </w:style>
  <w:style w:type="paragraph" w:styleId="BlockText">
    <w:name w:val="Block Text"/>
    <w:basedOn w:val="Normal"/>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56910"/>
    <w:rPr>
      <w:rFonts w:ascii="Georgia" w:eastAsia="SimSun" w:hAnsi="Georgia"/>
    </w:rPr>
  </w:style>
  <w:style w:type="paragraph" w:styleId="BodyText2">
    <w:name w:val="Body Text 2"/>
    <w:basedOn w:val="Normal"/>
    <w:link w:val="BodyText2Char"/>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rsid w:val="0074276B"/>
    <w:rPr>
      <w:rFonts w:eastAsia="SimSun"/>
    </w:rPr>
  </w:style>
  <w:style w:type="paragraph" w:styleId="BodyText3">
    <w:name w:val="Body Text 3"/>
    <w:basedOn w:val="Normal"/>
    <w:link w:val="BodyText3Char"/>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uiPriority w:val="99"/>
    <w:rsid w:val="0074276B"/>
    <w:rPr>
      <w:rFonts w:ascii="Courier New" w:eastAsia="SimSun" w:hAnsi="Courier New" w:cs="Courier New"/>
    </w:rPr>
  </w:style>
  <w:style w:type="paragraph" w:styleId="BodyTextFirstIndent">
    <w:name w:val="Body Text First Indent"/>
    <w:basedOn w:val="BodyText"/>
    <w:link w:val="BodyTextFirstIndentChar"/>
    <w:rsid w:val="00156910"/>
    <w:pPr>
      <w:spacing w:after="120"/>
      <w:ind w:firstLine="210"/>
    </w:pPr>
  </w:style>
  <w:style w:type="character" w:customStyle="1" w:styleId="BodyTextFirstIndentChar">
    <w:name w:val="Body Text First Indent Char"/>
    <w:basedOn w:val="BodyTextChar"/>
    <w:link w:val="BodyTextFirstIndent"/>
    <w:rsid w:val="0074276B"/>
    <w:rPr>
      <w:rFonts w:eastAsia="SimSun"/>
    </w:rPr>
  </w:style>
  <w:style w:type="paragraph" w:styleId="BodyTextIndent">
    <w:name w:val="Body Text Indent"/>
    <w:basedOn w:val="Normal"/>
    <w:link w:val="BodyTextIndentChar"/>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rsid w:val="0074276B"/>
    <w:rPr>
      <w:rFonts w:eastAsia="SimSun"/>
    </w:rPr>
  </w:style>
  <w:style w:type="paragraph" w:styleId="BodyTextIndent2">
    <w:name w:val="Body Text Indent 2"/>
    <w:basedOn w:val="Normal"/>
    <w:link w:val="BodyTextIndent2Char"/>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rsid w:val="0074276B"/>
    <w:rPr>
      <w:rFonts w:eastAsia="SimSun"/>
    </w:rPr>
  </w:style>
  <w:style w:type="paragraph" w:styleId="BodyTextIndent3">
    <w:name w:val="Body Text Indent 3"/>
    <w:basedOn w:val="Normal"/>
    <w:link w:val="BodyTextIndent3Char"/>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rsid w:val="0074276B"/>
    <w:rPr>
      <w:rFonts w:eastAsia="SimSun"/>
      <w:sz w:val="16"/>
      <w:szCs w:val="16"/>
    </w:rPr>
  </w:style>
  <w:style w:type="paragraph" w:styleId="BodyTextFirstIndent2">
    <w:name w:val="Body Text First Indent 2"/>
    <w:basedOn w:val="BodyTextIndent"/>
    <w:link w:val="BodyTextFirstIndent2Char"/>
    <w:rsid w:val="00156910"/>
    <w:pPr>
      <w:ind w:firstLine="210"/>
    </w:pPr>
  </w:style>
  <w:style w:type="character" w:customStyle="1" w:styleId="BodyTextFirstIndent2Char">
    <w:name w:val="Body Text First Indent 2 Char"/>
    <w:basedOn w:val="BodyTextIndentChar"/>
    <w:link w:val="BodyTextFirstIndent2"/>
    <w:rsid w:val="0074276B"/>
    <w:rPr>
      <w:rFonts w:eastAsia="SimSun"/>
    </w:rPr>
  </w:style>
  <w:style w:type="paragraph" w:styleId="NormalIndent">
    <w:name w:val="Normal Indent"/>
    <w:basedOn w:val="Normal"/>
    <w:link w:val="NormalIndentChar"/>
    <w:uiPriority w:val="99"/>
    <w:qFormat/>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rsid w:val="0074276B"/>
    <w:rPr>
      <w:rFonts w:eastAsia="SimSun"/>
    </w:rPr>
  </w:style>
  <w:style w:type="paragraph" w:styleId="Signature">
    <w:name w:val="Signature"/>
    <w:basedOn w:val="Normal"/>
    <w:link w:val="SignatureChar"/>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rsid w:val="0074276B"/>
    <w:rPr>
      <w:rFonts w:eastAsia="SimSun"/>
    </w:rPr>
  </w:style>
  <w:style w:type="paragraph" w:styleId="E-mailSignature">
    <w:name w:val="E-mail Signature"/>
    <w:basedOn w:val="Normal"/>
    <w:link w:val="E-mailSignatureChar"/>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rsid w:val="0074276B"/>
    <w:rPr>
      <w:rFonts w:eastAsia="SimSun"/>
    </w:rPr>
  </w:style>
  <w:style w:type="paragraph" w:styleId="TableofFigures">
    <w:name w:val="table of figures"/>
    <w:basedOn w:val="Normal"/>
    <w:next w:val="Normal"/>
    <w:unhideWhenUsed/>
    <w:rsid w:val="000251B9"/>
    <w:pPr>
      <w:tabs>
        <w:tab w:val="clear" w:pos="850"/>
        <w:tab w:val="clear" w:pos="1191"/>
        <w:tab w:val="clear" w:pos="1531"/>
        <w:tab w:val="right" w:leader="dot" w:pos="9072"/>
      </w:tabs>
      <w:ind w:left="442" w:hanging="442"/>
    </w:pPr>
    <w:rPr>
      <w:rFonts w:eastAsia="SimSun"/>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uiPriority w:val="99"/>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614D6E"/>
    <w:pPr>
      <w:tabs>
        <w:tab w:val="clear" w:pos="850"/>
        <w:tab w:val="clear" w:pos="1191"/>
        <w:tab w:val="clear" w:pos="1531"/>
      </w:tabs>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qFormat/>
    <w:rsid w:val="00156910"/>
    <w:rPr>
      <w:rFonts w:eastAsia="SimSun"/>
      <w:position w:val="6"/>
    </w:rPr>
  </w:style>
  <w:style w:type="paragraph" w:styleId="Quote">
    <w:name w:val="Quote"/>
    <w:aliases w:val="Quotation (long)"/>
    <w:basedOn w:val="Normal"/>
    <w:link w:val="QuoteChar"/>
    <w:uiPriority w:val="29"/>
    <w:qFormat/>
    <w:rsid w:val="005D3986"/>
    <w:pPr>
      <w:tabs>
        <w:tab w:val="clear" w:pos="850"/>
        <w:tab w:val="clear" w:pos="1191"/>
        <w:tab w:val="clear" w:pos="1531"/>
      </w:tabs>
      <w:spacing w:after="120"/>
      <w:ind w:left="1021" w:right="1021" w:firstLine="454"/>
    </w:pPr>
    <w:rPr>
      <w:rFonts w:eastAsia="SimSun"/>
      <w:i/>
      <w:iCs/>
      <w:color w:val="404040"/>
    </w:rPr>
  </w:style>
  <w:style w:type="character" w:customStyle="1" w:styleId="QuoteChar">
    <w:name w:val="Quote Char"/>
    <w:aliases w:val="Quotation (long) Char"/>
    <w:basedOn w:val="DefaultParagraphFont"/>
    <w:link w:val="Quote"/>
    <w:uiPriority w:val="29"/>
    <w:rsid w:val="004176C5"/>
    <w:rPr>
      <w:rFonts w:ascii="Times New Roman" w:eastAsia="SimSun" w:hAnsi="Times New Roman"/>
      <w:i/>
      <w:iCs/>
      <w:color w:val="404040"/>
      <w:sz w:val="22"/>
      <w:lang w:val="en-GB"/>
    </w:rPr>
  </w:style>
  <w:style w:type="paragraph" w:styleId="TOCHeading">
    <w:name w:val="TOC Heading"/>
    <w:basedOn w:val="Title"/>
    <w:next w:val="Normal"/>
    <w:uiPriority w:val="39"/>
    <w:qFormat/>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D3986"/>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4176C5"/>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qFormat/>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qFormat/>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FollowedHyperlink1">
    <w:name w:val="FollowedHyperlink1"/>
    <w:basedOn w:val="DefaultParagraphFont"/>
    <w:uiPriority w:val="99"/>
    <w:semiHidden/>
    <w:unhideWhenUsed/>
    <w:rsid w:val="00156910"/>
    <w:rPr>
      <w:color w:val="800080"/>
      <w:u w:val="single"/>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C51858"/>
    <w:rPr>
      <w:sz w:val="14"/>
    </w:rPr>
  </w:style>
  <w:style w:type="paragraph" w:customStyle="1" w:styleId="Para">
    <w:name w:val="Para #"/>
    <w:basedOn w:val="Normal"/>
    <w:link w:val="ParaChar"/>
    <w:uiPriority w:val="4"/>
    <w:qFormat/>
    <w:rsid w:val="00B95C8F"/>
    <w:pPr>
      <w:numPr>
        <w:numId w:val="12"/>
      </w:numPr>
      <w:tabs>
        <w:tab w:val="clear" w:pos="850"/>
        <w:tab w:val="clear" w:pos="1191"/>
        <w:tab w:val="clear" w:pos="1531"/>
        <w:tab w:val="left" w:pos="1361"/>
      </w:tabs>
      <w:spacing w:after="120"/>
      <w:ind w:right="680"/>
    </w:pPr>
    <w:rPr>
      <w:rFonts w:eastAsia="SimSun"/>
    </w:rPr>
  </w:style>
  <w:style w:type="character" w:customStyle="1" w:styleId="ParaChar">
    <w:name w:val="Para # Char"/>
    <w:basedOn w:val="DefaultParagraphFont"/>
    <w:link w:val="Para"/>
    <w:uiPriority w:val="4"/>
    <w:rsid w:val="00B95C8F"/>
    <w:rPr>
      <w:rFonts w:ascii="Times New Roman" w:eastAsia="SimSun" w:hAnsi="Times New Roman"/>
      <w:sz w:val="22"/>
      <w:lang w:val="en-GB"/>
    </w:rPr>
  </w:style>
  <w:style w:type="paragraph" w:customStyle="1" w:styleId="Para0">
    <w:name w:val="Para #.#"/>
    <w:basedOn w:val="Para"/>
    <w:uiPriority w:val="5"/>
    <w:rsid w:val="00B95C8F"/>
    <w:pPr>
      <w:numPr>
        <w:ilvl w:val="1"/>
        <w:numId w:val="14"/>
      </w:numPr>
      <w:tabs>
        <w:tab w:val="clear" w:pos="454"/>
      </w:tabs>
      <w:ind w:left="680"/>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character" w:customStyle="1" w:styleId="HeaderClassificationChar">
    <w:name w:val="Header Classification (Char)"/>
    <w:basedOn w:val="DefaultParagraphFont"/>
    <w:uiPriority w:val="1"/>
    <w:unhideWhenUsed/>
    <w:rsid w:val="00352081"/>
    <w:rPr>
      <w:rFonts w:ascii="Times New Roman" w:hAnsi="Times New Roman"/>
      <w:b w:val="0"/>
      <w:caps w:val="0"/>
      <w:smallCaps w:val="0"/>
      <w:spacing w:val="0"/>
      <w:sz w:val="14"/>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B524AE"/>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B524AE"/>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C57B2"/>
    <w:pPr>
      <w:spacing w:after="120"/>
      <w:jc w:val="both"/>
    </w:pPr>
    <w:rPr>
      <w:rFonts w:cs="Arial"/>
      <w:b/>
      <w:szCs w:val="24"/>
    </w:rPr>
  </w:style>
  <w:style w:type="paragraph" w:customStyle="1" w:styleId="CoverDisclaimer">
    <w:name w:val="CoverDisclaimer"/>
    <w:basedOn w:val="Footer"/>
    <w:unhideWhenUsed/>
    <w:rsid w:val="000B7010"/>
    <w:pPr>
      <w:spacing w:line="312" w:lineRule="auto"/>
      <w:jc w:val="both"/>
    </w:pPr>
    <w:rPr>
      <w:rFonts w:eastAsia="SimSun"/>
      <w:b/>
      <w:i/>
      <w:color w:val="000000" w:themeColor="text1"/>
      <w:szCs w:val="16"/>
    </w:rPr>
  </w:style>
  <w:style w:type="character" w:customStyle="1" w:styleId="CoverAbstractChar">
    <w:name w:val="CoverAbstract Char"/>
    <w:basedOn w:val="DefaultParagraphFont"/>
    <w:link w:val="CoverAbstract"/>
    <w:rsid w:val="003C57B2"/>
    <w:rPr>
      <w:rFonts w:ascii="Times New Roman" w:eastAsia="SimSun" w:hAnsi="Times New Roman" w:cs="Arial"/>
      <w:b/>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unhideWhenUsed/>
    <w:rsid w:val="00852EED"/>
    <w:pPr>
      <w:jc w:val="right"/>
    </w:pPr>
    <w:rPr>
      <w:b/>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1">
    <w:name w:val="Para"/>
    <w:basedOn w:val="Normal"/>
    <w:uiPriority w:val="3"/>
    <w:qFormat/>
    <w:rsid w:val="00860B7A"/>
    <w:pPr>
      <w:tabs>
        <w:tab w:val="clear" w:pos="850"/>
        <w:tab w:val="clear" w:pos="1191"/>
        <w:tab w:val="clear" w:pos="1531"/>
      </w:tabs>
      <w:spacing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EB0527"/>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963B60"/>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6859C8"/>
    <w:pPr>
      <w:autoSpaceDE w:val="0"/>
      <w:autoSpaceDN w:val="0"/>
      <w:adjustRightInd w:val="0"/>
      <w:jc w:val="right"/>
      <w:textAlignment w:val="center"/>
    </w:pPr>
    <w:rPr>
      <w:rFonts w:cs="Bernini Sans"/>
      <w:b/>
      <w:bCs/>
      <w:color w:val="000000"/>
      <w:lang w:val="fr-FR"/>
    </w:rPr>
  </w:style>
  <w:style w:type="paragraph" w:customStyle="1" w:styleId="CoverLanguage">
    <w:name w:val="CoverLanguage"/>
    <w:basedOn w:val="CoverNormal"/>
    <w:unhideWhenUsed/>
    <w:rsid w:val="00927BF7"/>
    <w:pPr>
      <w:spacing w:before="40" w:after="40"/>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qFormat/>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1B0BC0"/>
    <w:rPr>
      <w:rFonts w:ascii="Times New Roman" w:eastAsiaTheme="minorEastAsia" w:hAnsi="Times New Roman"/>
      <w:b w:val="0"/>
      <w:i/>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1"/>
    <w:uiPriority w:val="15"/>
    <w:qFormat/>
    <w:rsid w:val="007D0D9E"/>
    <w:pPr>
      <w:keepNext/>
      <w:spacing w:before="240" w:after="240"/>
      <w:ind w:right="680"/>
      <w:jc w:val="left"/>
      <w:outlineLvl w:val="1"/>
    </w:pPr>
    <w:rPr>
      <w:b/>
      <w:color w:val="4E81BD"/>
      <w:sz w:val="24"/>
    </w:rPr>
  </w:style>
  <w:style w:type="paragraph" w:customStyle="1" w:styleId="AnnexH3">
    <w:name w:val="Annex H3"/>
    <w:basedOn w:val="Normal"/>
    <w:next w:val="Para1"/>
    <w:uiPriority w:val="15"/>
    <w:qFormat/>
    <w:rsid w:val="007D0D9E"/>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157FE1"/>
    <w:pPr>
      <w:numPr>
        <w:numId w:val="15"/>
      </w:numPr>
      <w:spacing w:after="120"/>
      <w:ind w:right="680"/>
      <w:contextualSpacing/>
    </w:pPr>
  </w:style>
  <w:style w:type="paragraph" w:customStyle="1" w:styleId="NumberedList">
    <w:name w:val="Numbered List"/>
    <w:basedOn w:val="ListParagraph"/>
    <w:uiPriority w:val="5"/>
    <w:qFormat/>
    <w:rsid w:val="00431978"/>
    <w:pPr>
      <w:numPr>
        <w:numId w:val="16"/>
      </w:numPr>
      <w:spacing w:after="120"/>
      <w:ind w:right="680"/>
      <w:contextualSpacing/>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AA7AA7"/>
    <w:rPr>
      <w:b/>
      <w:sz w:val="24"/>
    </w:rPr>
  </w:style>
  <w:style w:type="paragraph" w:customStyle="1" w:styleId="CoverPwbCode">
    <w:name w:val="CoverPwbCode"/>
    <w:basedOn w:val="CoverJobTicket"/>
    <w:rsid w:val="001B0BC0"/>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1"/>
    <w:next w:val="Para1"/>
    <w:rsid w:val="00262675"/>
    <w:pPr>
      <w:jc w:val="right"/>
    </w:pPr>
    <w:rPr>
      <w:rFonts w:ascii="StatLink" w:hAnsi="StatLink"/>
      <w:sz w:val="14"/>
    </w:rPr>
  </w:style>
  <w:style w:type="character" w:customStyle="1" w:styleId="StatLinkDOI">
    <w:name w:val="StatLink DOI"/>
    <w:basedOn w:val="DefaultParagraphFont"/>
    <w:uiPriority w:val="1"/>
    <w:rsid w:val="00262675"/>
    <w:rPr>
      <w:rFonts w:ascii="Times New Roman" w:hAnsi="Times New Roman"/>
      <w:sz w:val="14"/>
    </w:rPr>
  </w:style>
  <w:style w:type="paragraph" w:customStyle="1" w:styleId="Title2">
    <w:name w:val="Title 2"/>
    <w:basedOn w:val="Heading2"/>
    <w:next w:val="Para1"/>
    <w:qFormat/>
    <w:rsid w:val="00112A7D"/>
    <w:pPr>
      <w:numPr>
        <w:ilvl w:val="0"/>
        <w:numId w:val="0"/>
      </w:numPr>
    </w:pPr>
  </w:style>
  <w:style w:type="paragraph" w:customStyle="1" w:styleId="Title3">
    <w:name w:val="Title 3"/>
    <w:basedOn w:val="Normal"/>
    <w:next w:val="Para1"/>
    <w:qFormat/>
    <w:rsid w:val="00062CDD"/>
    <w:pPr>
      <w:keepNext/>
      <w:keepLines/>
      <w:spacing w:before="240" w:after="120"/>
      <w:ind w:left="680" w:right="680"/>
      <w:jc w:val="left"/>
      <w:outlineLvl w:val="2"/>
    </w:pPr>
    <w:rPr>
      <w:color w:val="4E81BD"/>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F15278"/>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BE5F1" w:themeFill="accent1" w:themeFillTint="33"/>
      </w:tcPr>
    </w:tblStylePr>
    <w:tblStylePr w:type="band2Horz">
      <w:tblPr/>
      <w:tcPr>
        <w:shd w:val="clear" w:color="auto" w:fill="FFFFFF" w:themeFill="background1"/>
      </w:tcPr>
    </w:tblStylePr>
  </w:style>
  <w:style w:type="paragraph" w:customStyle="1" w:styleId="Abstract">
    <w:name w:val="Abstract"/>
    <w:basedOn w:val="Para1"/>
    <w:qFormat/>
    <w:rsid w:val="00F34FF4"/>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1"/>
    <w:qFormat/>
    <w:rsid w:val="003A3E50"/>
    <w:pPr>
      <w:keepNext/>
      <w:spacing w:before="240" w:after="120"/>
      <w:ind w:left="680" w:right="680"/>
      <w:jc w:val="left"/>
    </w:pPr>
    <w:rPr>
      <w:b/>
      <w:sz w:val="21"/>
    </w:rPr>
  </w:style>
  <w:style w:type="paragraph" w:customStyle="1" w:styleId="CoverInformation">
    <w:name w:val="CoverInformation"/>
    <w:basedOn w:val="CoverSubTitle"/>
    <w:rsid w:val="00751A55"/>
  </w:style>
  <w:style w:type="paragraph" w:customStyle="1" w:styleId="AnnexHeading">
    <w:name w:val="Annex Heading"/>
    <w:basedOn w:val="Normal"/>
    <w:next w:val="BodyText"/>
    <w:rsid w:val="00E12E3B"/>
    <w:pPr>
      <w:keepNext/>
      <w:spacing w:before="1200" w:after="720"/>
      <w:jc w:val="center"/>
    </w:pPr>
    <w:rPr>
      <w:rFonts w:eastAsia="Times New Roman"/>
      <w:b/>
      <w:bCs/>
      <w:caps/>
      <w:szCs w:val="22"/>
      <w:lang w:eastAsia="zh-CN"/>
    </w:rPr>
  </w:style>
  <w:style w:type="paragraph" w:customStyle="1" w:styleId="Annotation">
    <w:name w:val="Annotation"/>
    <w:basedOn w:val="BodyText"/>
    <w:rsid w:val="00E12E3B"/>
    <w:pPr>
      <w:tabs>
        <w:tab w:val="left" w:pos="850"/>
        <w:tab w:val="left" w:pos="1191"/>
        <w:tab w:val="left" w:pos="1531"/>
      </w:tabs>
      <w:spacing w:after="240"/>
      <w:ind w:firstLine="0"/>
      <w:jc w:val="left"/>
    </w:pPr>
    <w:rPr>
      <w:rFonts w:eastAsia="Times New Roman"/>
      <w:b/>
      <w:bCs/>
      <w:i/>
      <w:iCs/>
      <w:szCs w:val="22"/>
      <w:lang w:eastAsia="zh-CN"/>
    </w:rPr>
  </w:style>
  <w:style w:type="paragraph" w:customStyle="1" w:styleId="AppendixHeading">
    <w:name w:val="Appendix Heading"/>
    <w:basedOn w:val="Normal"/>
    <w:next w:val="BodyText"/>
    <w:rsid w:val="00E12E3B"/>
    <w:pPr>
      <w:keepNext/>
      <w:spacing w:before="1200" w:after="720"/>
      <w:jc w:val="center"/>
    </w:pPr>
    <w:rPr>
      <w:rFonts w:eastAsia="Times New Roman"/>
      <w:b/>
      <w:bCs/>
      <w:caps/>
      <w:szCs w:val="22"/>
      <w:lang w:eastAsia="zh-CN"/>
    </w:rPr>
  </w:style>
  <w:style w:type="paragraph" w:customStyle="1" w:styleId="Biblio-Entry">
    <w:name w:val="Biblio-Entry"/>
    <w:basedOn w:val="BodyText"/>
    <w:rsid w:val="00E12E3B"/>
    <w:pPr>
      <w:tabs>
        <w:tab w:val="left" w:pos="850"/>
        <w:tab w:val="left" w:pos="1191"/>
        <w:tab w:val="left" w:pos="1531"/>
      </w:tabs>
      <w:spacing w:after="240"/>
      <w:ind w:left="567" w:hanging="567"/>
      <w:jc w:val="left"/>
    </w:pPr>
    <w:rPr>
      <w:rFonts w:eastAsia="Times New Roman"/>
      <w:szCs w:val="22"/>
      <w:lang w:eastAsia="zh-CN"/>
    </w:rPr>
  </w:style>
  <w:style w:type="paragraph" w:customStyle="1" w:styleId="BibliographyHeading">
    <w:name w:val="Bibliography Heading"/>
    <w:basedOn w:val="Normal"/>
    <w:next w:val="Biblio-Entry"/>
    <w:rsid w:val="00E12E3B"/>
    <w:pPr>
      <w:keepNext/>
      <w:spacing w:before="1200" w:after="720"/>
      <w:jc w:val="center"/>
    </w:pPr>
    <w:rPr>
      <w:rFonts w:eastAsia="Times New Roman"/>
      <w:b/>
      <w:bCs/>
      <w:caps/>
      <w:szCs w:val="22"/>
      <w:lang w:eastAsia="zh-CN"/>
    </w:rPr>
  </w:style>
  <w:style w:type="paragraph" w:customStyle="1" w:styleId="Cell">
    <w:name w:val="Cell"/>
    <w:basedOn w:val="Normal"/>
    <w:rsid w:val="00E12E3B"/>
    <w:pPr>
      <w:tabs>
        <w:tab w:val="clear" w:pos="850"/>
        <w:tab w:val="clear" w:pos="1191"/>
        <w:tab w:val="clear" w:pos="1531"/>
      </w:tabs>
      <w:jc w:val="left"/>
    </w:pPr>
    <w:rPr>
      <w:rFonts w:ascii="Arial" w:eastAsia="Times New Roman" w:hAnsi="Arial" w:cs="Arial"/>
      <w:sz w:val="18"/>
      <w:szCs w:val="18"/>
      <w:lang w:eastAsia="zh-CN"/>
    </w:rPr>
  </w:style>
  <w:style w:type="paragraph" w:customStyle="1" w:styleId="ColumnsHeading">
    <w:name w:val="Columns Heading"/>
    <w:basedOn w:val="Normal"/>
    <w:rsid w:val="00E12E3B"/>
    <w:pPr>
      <w:tabs>
        <w:tab w:val="clear" w:pos="850"/>
        <w:tab w:val="clear" w:pos="1191"/>
        <w:tab w:val="clear" w:pos="1531"/>
      </w:tabs>
      <w:jc w:val="center"/>
    </w:pPr>
    <w:rPr>
      <w:rFonts w:ascii="Arial" w:eastAsia="Times New Roman" w:hAnsi="Arial" w:cs="Arial"/>
      <w:sz w:val="18"/>
      <w:szCs w:val="18"/>
      <w:lang w:eastAsia="zh-CN"/>
    </w:rPr>
  </w:style>
  <w:style w:type="paragraph" w:customStyle="1" w:styleId="ConclusionHeading">
    <w:name w:val="Conclusion Heading"/>
    <w:basedOn w:val="Normal"/>
    <w:next w:val="BodyText"/>
    <w:rsid w:val="00E12E3B"/>
    <w:pPr>
      <w:keepNext/>
      <w:spacing w:before="1200" w:after="720"/>
      <w:jc w:val="center"/>
    </w:pPr>
    <w:rPr>
      <w:rFonts w:eastAsia="Times New Roman"/>
      <w:b/>
      <w:bCs/>
      <w:caps/>
      <w:szCs w:val="22"/>
      <w:lang w:eastAsia="zh-CN"/>
    </w:rPr>
  </w:style>
  <w:style w:type="paragraph" w:customStyle="1" w:styleId="DefinitionList">
    <w:name w:val="Definition List"/>
    <w:basedOn w:val="BodyText"/>
    <w:rsid w:val="00E12E3B"/>
    <w:pPr>
      <w:spacing w:after="240"/>
      <w:ind w:left="1984" w:hanging="1984"/>
      <w:jc w:val="center"/>
    </w:pPr>
    <w:rPr>
      <w:rFonts w:eastAsia="Times New Roman"/>
      <w:szCs w:val="22"/>
      <w:lang w:eastAsia="zh-CN"/>
    </w:rPr>
  </w:style>
  <w:style w:type="paragraph" w:customStyle="1" w:styleId="EndnotesHeading">
    <w:name w:val="Endnotes Heading"/>
    <w:basedOn w:val="Normal"/>
    <w:next w:val="BodyText"/>
    <w:rsid w:val="00E12E3B"/>
    <w:pPr>
      <w:keepNext/>
      <w:spacing w:before="1200" w:after="480"/>
      <w:jc w:val="center"/>
    </w:pPr>
    <w:rPr>
      <w:rFonts w:eastAsia="Times New Roman"/>
      <w:b/>
      <w:bCs/>
      <w:caps/>
      <w:szCs w:val="22"/>
      <w:lang w:eastAsia="zh-CN"/>
    </w:rPr>
  </w:style>
  <w:style w:type="paragraph" w:customStyle="1" w:styleId="ExecutiveSummaryHeading">
    <w:name w:val="Executive Summary Heading"/>
    <w:basedOn w:val="Normal"/>
    <w:next w:val="BodyText"/>
    <w:rsid w:val="00E12E3B"/>
    <w:pPr>
      <w:keepNext/>
      <w:spacing w:before="1200" w:after="720"/>
      <w:jc w:val="center"/>
    </w:pPr>
    <w:rPr>
      <w:rFonts w:eastAsia="Times New Roman"/>
      <w:b/>
      <w:bCs/>
      <w:caps/>
      <w:szCs w:val="22"/>
      <w:lang w:eastAsia="zh-CN"/>
    </w:rPr>
  </w:style>
  <w:style w:type="paragraph" w:customStyle="1" w:styleId="FigureNote">
    <w:name w:val="Figure Note"/>
    <w:basedOn w:val="Normal"/>
    <w:rsid w:val="00E12E3B"/>
    <w:pPr>
      <w:spacing w:after="120"/>
    </w:pPr>
    <w:rPr>
      <w:rFonts w:ascii="Arial" w:eastAsia="Times New Roman" w:hAnsi="Arial" w:cs="Arial"/>
      <w:sz w:val="16"/>
      <w:szCs w:val="18"/>
      <w:lang w:eastAsia="zh-CN"/>
    </w:rPr>
  </w:style>
  <w:style w:type="paragraph" w:customStyle="1" w:styleId="FigureSub-title">
    <w:name w:val="Figure Sub-title"/>
    <w:basedOn w:val="Normal"/>
    <w:rsid w:val="00E12E3B"/>
    <w:pPr>
      <w:keepNext/>
      <w:spacing w:after="120"/>
      <w:jc w:val="center"/>
    </w:pPr>
    <w:rPr>
      <w:rFonts w:ascii="Arial" w:eastAsia="Times New Roman" w:hAnsi="Arial" w:cs="Arial"/>
      <w:sz w:val="18"/>
      <w:szCs w:val="22"/>
      <w:lang w:eastAsia="zh-CN"/>
    </w:rPr>
  </w:style>
  <w:style w:type="paragraph" w:customStyle="1" w:styleId="FigureTitle">
    <w:name w:val="Figure Title"/>
    <w:basedOn w:val="Normal"/>
    <w:next w:val="FigureSub-title"/>
    <w:rsid w:val="00E12E3B"/>
    <w:pPr>
      <w:keepNext/>
      <w:spacing w:after="240"/>
      <w:jc w:val="center"/>
    </w:pPr>
    <w:rPr>
      <w:rFonts w:ascii="Arial" w:eastAsia="Times New Roman" w:hAnsi="Arial" w:cs="Arial"/>
      <w:b/>
      <w:bCs/>
      <w:sz w:val="18"/>
      <w:szCs w:val="22"/>
      <w:lang w:eastAsia="zh-CN"/>
    </w:rPr>
  </w:style>
  <w:style w:type="paragraph" w:customStyle="1" w:styleId="ForewordHeading">
    <w:name w:val="Foreword Heading"/>
    <w:basedOn w:val="Normal"/>
    <w:next w:val="BodyText"/>
    <w:rsid w:val="00E12E3B"/>
    <w:pPr>
      <w:keepNext/>
      <w:spacing w:before="1200" w:after="720"/>
      <w:jc w:val="center"/>
    </w:pPr>
    <w:rPr>
      <w:rFonts w:eastAsia="Times New Roman"/>
      <w:b/>
      <w:bCs/>
      <w:caps/>
      <w:szCs w:val="22"/>
      <w:lang w:eastAsia="zh-CN"/>
    </w:rPr>
  </w:style>
  <w:style w:type="paragraph" w:customStyle="1" w:styleId="GlossaryHeading">
    <w:name w:val="Glossary Heading"/>
    <w:basedOn w:val="Normal"/>
    <w:next w:val="BodyText"/>
    <w:rsid w:val="00E12E3B"/>
    <w:pPr>
      <w:keepNext/>
      <w:spacing w:before="1200" w:after="720"/>
      <w:jc w:val="center"/>
    </w:pPr>
    <w:rPr>
      <w:rFonts w:eastAsia="Times New Roman"/>
      <w:b/>
      <w:bCs/>
      <w:caps/>
      <w:szCs w:val="22"/>
      <w:lang w:eastAsia="zh-CN"/>
    </w:rPr>
  </w:style>
  <w:style w:type="paragraph" w:customStyle="1" w:styleId="Graphic">
    <w:name w:val="Graphic"/>
    <w:basedOn w:val="Normal"/>
    <w:next w:val="BodyText"/>
    <w:rsid w:val="00E12E3B"/>
    <w:pPr>
      <w:spacing w:after="240"/>
      <w:jc w:val="center"/>
    </w:pPr>
    <w:rPr>
      <w:rFonts w:eastAsia="Times New Roman"/>
      <w:szCs w:val="22"/>
      <w:lang w:eastAsia="zh-CN"/>
    </w:rPr>
  </w:style>
  <w:style w:type="paragraph" w:customStyle="1" w:styleId="HiddenText">
    <w:name w:val="Hidden Text"/>
    <w:basedOn w:val="BodyText"/>
    <w:rsid w:val="00E12E3B"/>
    <w:pPr>
      <w:keepNext/>
      <w:tabs>
        <w:tab w:val="left" w:pos="850"/>
        <w:tab w:val="left" w:pos="1191"/>
        <w:tab w:val="left" w:pos="1531"/>
      </w:tabs>
      <w:ind w:left="442" w:firstLine="0"/>
    </w:pPr>
    <w:rPr>
      <w:rFonts w:eastAsia="Times New Roman"/>
      <w:sz w:val="2"/>
      <w:szCs w:val="2"/>
      <w:lang w:eastAsia="zh-CN"/>
    </w:rPr>
  </w:style>
  <w:style w:type="paragraph" w:customStyle="1" w:styleId="Highlight">
    <w:name w:val="Highlight"/>
    <w:basedOn w:val="BodyText"/>
    <w:rsid w:val="00E12E3B"/>
    <w:pPr>
      <w:tabs>
        <w:tab w:val="left" w:pos="850"/>
        <w:tab w:val="left" w:pos="1191"/>
        <w:tab w:val="left" w:pos="1531"/>
      </w:tabs>
      <w:spacing w:after="240"/>
      <w:ind w:left="442" w:firstLine="0"/>
    </w:pPr>
    <w:rPr>
      <w:rFonts w:eastAsia="Times New Roman"/>
      <w:i/>
      <w:iCs/>
      <w:szCs w:val="22"/>
      <w:lang w:eastAsia="zh-CN"/>
    </w:rPr>
  </w:style>
  <w:style w:type="paragraph" w:customStyle="1" w:styleId="HighlightHeading">
    <w:name w:val="Highlight Heading"/>
    <w:basedOn w:val="Normal"/>
    <w:next w:val="BodyText"/>
    <w:rsid w:val="00E12E3B"/>
    <w:pPr>
      <w:keepNext/>
      <w:spacing w:before="1200" w:after="720"/>
      <w:jc w:val="center"/>
    </w:pPr>
    <w:rPr>
      <w:rFonts w:eastAsia="Times New Roman"/>
      <w:b/>
      <w:bCs/>
      <w:caps/>
      <w:szCs w:val="22"/>
      <w:lang w:eastAsia="zh-CN"/>
    </w:rPr>
  </w:style>
  <w:style w:type="paragraph" w:customStyle="1" w:styleId="IntroductionHeading">
    <w:name w:val="Introduction Heading"/>
    <w:basedOn w:val="Normal"/>
    <w:next w:val="BodyText"/>
    <w:rsid w:val="00E12E3B"/>
    <w:pPr>
      <w:keepNext/>
      <w:spacing w:before="1200" w:after="720"/>
      <w:jc w:val="center"/>
    </w:pPr>
    <w:rPr>
      <w:rFonts w:eastAsia="Times New Roman"/>
      <w:b/>
      <w:bCs/>
      <w:caps/>
      <w:szCs w:val="22"/>
      <w:lang w:eastAsia="zh-CN"/>
    </w:rPr>
  </w:style>
  <w:style w:type="paragraph" w:customStyle="1" w:styleId="Num-ChapParagraph">
    <w:name w:val="Num-Chap Paragraph"/>
    <w:basedOn w:val="BodyText"/>
    <w:rsid w:val="00E12E3B"/>
    <w:pPr>
      <w:tabs>
        <w:tab w:val="left" w:pos="850"/>
        <w:tab w:val="left" w:pos="1191"/>
        <w:tab w:val="left" w:pos="1531"/>
      </w:tabs>
      <w:spacing w:after="240"/>
      <w:ind w:firstLine="0"/>
    </w:pPr>
    <w:rPr>
      <w:rFonts w:eastAsia="Times New Roman"/>
      <w:szCs w:val="22"/>
      <w:lang w:eastAsia="zh-CN"/>
    </w:rPr>
  </w:style>
  <w:style w:type="paragraph" w:customStyle="1" w:styleId="Num-DocParagraph">
    <w:name w:val="Num-Doc Paragraph"/>
    <w:basedOn w:val="BodyText"/>
    <w:rsid w:val="00E12E3B"/>
    <w:pPr>
      <w:tabs>
        <w:tab w:val="left" w:pos="850"/>
        <w:tab w:val="left" w:pos="1191"/>
        <w:tab w:val="left" w:pos="1531"/>
      </w:tabs>
      <w:spacing w:after="240"/>
      <w:ind w:firstLine="0"/>
    </w:pPr>
    <w:rPr>
      <w:rFonts w:eastAsia="Times New Roman"/>
      <w:szCs w:val="22"/>
      <w:lang w:eastAsia="zh-CN"/>
    </w:rPr>
  </w:style>
  <w:style w:type="paragraph" w:customStyle="1" w:styleId="PartHeading">
    <w:name w:val="Part Heading"/>
    <w:basedOn w:val="Normal"/>
    <w:next w:val="BodyText"/>
    <w:rsid w:val="00E12E3B"/>
    <w:pPr>
      <w:keepNext/>
      <w:spacing w:before="1200" w:after="720"/>
      <w:jc w:val="center"/>
    </w:pPr>
    <w:rPr>
      <w:rFonts w:eastAsia="Times New Roman"/>
      <w:b/>
      <w:bCs/>
      <w:caps/>
      <w:szCs w:val="22"/>
      <w:lang w:eastAsia="zh-CN"/>
    </w:rPr>
  </w:style>
  <w:style w:type="paragraph" w:customStyle="1" w:styleId="RowsHeading">
    <w:name w:val="Rows Heading"/>
    <w:basedOn w:val="Normal"/>
    <w:rsid w:val="00E12E3B"/>
    <w:pPr>
      <w:tabs>
        <w:tab w:val="clear" w:pos="850"/>
        <w:tab w:val="clear" w:pos="1191"/>
        <w:tab w:val="clear" w:pos="1531"/>
      </w:tabs>
      <w:jc w:val="left"/>
    </w:pPr>
    <w:rPr>
      <w:rFonts w:ascii="Arial" w:eastAsia="Times New Roman" w:hAnsi="Arial" w:cs="Arial"/>
      <w:sz w:val="18"/>
      <w:szCs w:val="18"/>
      <w:lang w:eastAsia="zh-CN"/>
    </w:rPr>
  </w:style>
  <w:style w:type="paragraph" w:customStyle="1" w:styleId="SourceDescription">
    <w:name w:val="Source Description"/>
    <w:basedOn w:val="Normal"/>
    <w:next w:val="BodyText"/>
    <w:rsid w:val="00E12E3B"/>
    <w:pPr>
      <w:spacing w:after="360"/>
    </w:pPr>
    <w:rPr>
      <w:rFonts w:ascii="Arial" w:eastAsia="Times New Roman" w:hAnsi="Arial" w:cs="Arial"/>
      <w:sz w:val="16"/>
      <w:szCs w:val="18"/>
      <w:lang w:eastAsia="zh-CN"/>
    </w:rPr>
  </w:style>
  <w:style w:type="paragraph" w:customStyle="1" w:styleId="SubHeading">
    <w:name w:val="SubHeading"/>
    <w:basedOn w:val="BodyText"/>
    <w:rsid w:val="00E12E3B"/>
    <w:pPr>
      <w:tabs>
        <w:tab w:val="left" w:pos="850"/>
        <w:tab w:val="left" w:pos="1191"/>
        <w:tab w:val="left" w:pos="1531"/>
      </w:tabs>
      <w:spacing w:after="240"/>
      <w:ind w:left="442" w:firstLine="0"/>
    </w:pPr>
    <w:rPr>
      <w:rFonts w:eastAsia="Times New Roman"/>
      <w:i/>
      <w:iCs/>
      <w:szCs w:val="22"/>
      <w:lang w:eastAsia="zh-CN"/>
    </w:rPr>
  </w:style>
  <w:style w:type="paragraph" w:customStyle="1" w:styleId="SummaryHeading">
    <w:name w:val="Summary Heading"/>
    <w:basedOn w:val="Normal"/>
    <w:next w:val="BodyText"/>
    <w:rsid w:val="00E12E3B"/>
    <w:pPr>
      <w:keepNext/>
      <w:spacing w:before="1200" w:after="720"/>
      <w:jc w:val="center"/>
    </w:pPr>
    <w:rPr>
      <w:rFonts w:eastAsia="Times New Roman"/>
      <w:b/>
      <w:bCs/>
      <w:caps/>
      <w:szCs w:val="22"/>
      <w:lang w:eastAsia="zh-CN"/>
    </w:rPr>
  </w:style>
  <w:style w:type="paragraph" w:customStyle="1" w:styleId="Table">
    <w:name w:val="Table"/>
    <w:basedOn w:val="Normal"/>
    <w:next w:val="BodyText"/>
    <w:rsid w:val="00E12E3B"/>
    <w:pPr>
      <w:spacing w:after="240"/>
      <w:jc w:val="center"/>
    </w:pPr>
    <w:rPr>
      <w:rFonts w:eastAsia="Times New Roman"/>
      <w:szCs w:val="22"/>
      <w:lang w:eastAsia="zh-CN"/>
    </w:rPr>
  </w:style>
  <w:style w:type="paragraph" w:customStyle="1" w:styleId="TableNote">
    <w:name w:val="Table Note"/>
    <w:basedOn w:val="Normal"/>
    <w:rsid w:val="00E12E3B"/>
    <w:pPr>
      <w:spacing w:after="120"/>
      <w:jc w:val="left"/>
    </w:pPr>
    <w:rPr>
      <w:rFonts w:ascii="Arial" w:eastAsia="Times New Roman" w:hAnsi="Arial" w:cs="Arial"/>
      <w:sz w:val="16"/>
      <w:szCs w:val="18"/>
      <w:lang w:eastAsia="zh-CN"/>
    </w:rPr>
  </w:style>
  <w:style w:type="paragraph" w:customStyle="1" w:styleId="TableofContentsHeading">
    <w:name w:val="Table of Contents Heading"/>
    <w:basedOn w:val="Normal"/>
    <w:next w:val="BodyText"/>
    <w:rsid w:val="00E12E3B"/>
    <w:pPr>
      <w:keepNext/>
      <w:spacing w:before="1200" w:after="720"/>
      <w:jc w:val="center"/>
    </w:pPr>
    <w:rPr>
      <w:rFonts w:eastAsia="Times New Roman"/>
      <w:b/>
      <w:bCs/>
      <w:caps/>
      <w:szCs w:val="22"/>
      <w:lang w:eastAsia="zh-CN"/>
    </w:rPr>
  </w:style>
  <w:style w:type="paragraph" w:customStyle="1" w:styleId="TableSub-title">
    <w:name w:val="Table Sub-title"/>
    <w:basedOn w:val="Normal"/>
    <w:rsid w:val="00E12E3B"/>
    <w:pPr>
      <w:keepNext/>
      <w:spacing w:after="240"/>
      <w:jc w:val="center"/>
    </w:pPr>
    <w:rPr>
      <w:rFonts w:ascii="Arial" w:eastAsia="Times New Roman" w:hAnsi="Arial" w:cs="Arial"/>
      <w:sz w:val="18"/>
      <w:szCs w:val="22"/>
      <w:lang w:eastAsia="zh-CN"/>
    </w:rPr>
  </w:style>
  <w:style w:type="paragraph" w:customStyle="1" w:styleId="TableTitle">
    <w:name w:val="Table Title"/>
    <w:basedOn w:val="Normal"/>
    <w:rsid w:val="00E12E3B"/>
    <w:pPr>
      <w:keepNext/>
      <w:spacing w:after="240"/>
      <w:jc w:val="center"/>
    </w:pPr>
    <w:rPr>
      <w:rFonts w:ascii="Arial" w:eastAsia="Times New Roman" w:hAnsi="Arial" w:cs="Arial"/>
      <w:b/>
      <w:bCs/>
      <w:sz w:val="18"/>
      <w:szCs w:val="22"/>
      <w:lang w:eastAsia="zh-CN"/>
    </w:rPr>
  </w:style>
  <w:style w:type="paragraph" w:customStyle="1" w:styleId="TextBox">
    <w:name w:val="Text Box"/>
    <w:basedOn w:val="BodyText"/>
    <w:rsid w:val="00E12E3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ind w:firstLine="0"/>
    </w:pPr>
    <w:rPr>
      <w:rFonts w:ascii="Arial" w:eastAsia="Times New Roman" w:hAnsi="Arial" w:cs="Arial"/>
      <w:sz w:val="18"/>
      <w:szCs w:val="22"/>
      <w:lang w:eastAsia="zh-CN"/>
    </w:rPr>
  </w:style>
  <w:style w:type="paragraph" w:customStyle="1" w:styleId="TextBoxHeading">
    <w:name w:val="Text Box Heading"/>
    <w:basedOn w:val="TextBox"/>
    <w:next w:val="TextBox"/>
    <w:rsid w:val="00E12E3B"/>
    <w:pPr>
      <w:jc w:val="center"/>
    </w:pPr>
    <w:rPr>
      <w:b/>
      <w:bCs/>
    </w:rPr>
  </w:style>
  <w:style w:type="paragraph" w:customStyle="1" w:styleId="IndexHeading1">
    <w:name w:val="Index Heading1"/>
    <w:basedOn w:val="Normal"/>
    <w:next w:val="BodyText"/>
    <w:rsid w:val="00E12E3B"/>
    <w:pPr>
      <w:keepNext/>
      <w:spacing w:before="1200" w:after="720"/>
      <w:jc w:val="center"/>
    </w:pPr>
    <w:rPr>
      <w:rFonts w:eastAsia="Times New Roman"/>
      <w:b/>
      <w:caps/>
      <w:szCs w:val="22"/>
      <w:lang w:val="en-US" w:eastAsia="zh-CN"/>
    </w:rPr>
  </w:style>
  <w:style w:type="paragraph" w:customStyle="1" w:styleId="Author">
    <w:name w:val="Author"/>
    <w:basedOn w:val="BodyText"/>
    <w:rsid w:val="00E12E3B"/>
    <w:pPr>
      <w:tabs>
        <w:tab w:val="left" w:pos="850"/>
        <w:tab w:val="left" w:pos="1191"/>
        <w:tab w:val="left" w:pos="1531"/>
      </w:tabs>
      <w:spacing w:after="240"/>
      <w:ind w:firstLine="0"/>
    </w:pPr>
    <w:rPr>
      <w:rFonts w:eastAsia="Times New Roman"/>
      <w:szCs w:val="22"/>
      <w:lang w:val="en-US" w:eastAsia="zh-CN"/>
    </w:rPr>
  </w:style>
  <w:style w:type="paragraph" w:customStyle="1" w:styleId="Chart">
    <w:name w:val="Chart"/>
    <w:basedOn w:val="Normal"/>
    <w:next w:val="BodyText"/>
    <w:rsid w:val="00E12E3B"/>
    <w:pPr>
      <w:spacing w:after="240"/>
      <w:jc w:val="center"/>
    </w:pPr>
    <w:rPr>
      <w:rFonts w:eastAsia="Times New Roman"/>
      <w:szCs w:val="22"/>
      <w:lang w:val="en-US" w:eastAsia="zh-CN"/>
    </w:rPr>
  </w:style>
  <w:style w:type="paragraph" w:customStyle="1" w:styleId="ChartSub-title">
    <w:name w:val="Chart Sub-title"/>
    <w:basedOn w:val="Normal"/>
    <w:rsid w:val="00E12E3B"/>
    <w:pPr>
      <w:keepNext/>
      <w:spacing w:after="120"/>
      <w:jc w:val="center"/>
    </w:pPr>
    <w:rPr>
      <w:rFonts w:ascii="Arial" w:eastAsia="Times New Roman" w:hAnsi="Arial" w:cs="Arial"/>
      <w:sz w:val="18"/>
      <w:szCs w:val="22"/>
      <w:lang w:val="en-US" w:eastAsia="zh-CN"/>
    </w:rPr>
  </w:style>
  <w:style w:type="paragraph" w:customStyle="1" w:styleId="ChartTitle">
    <w:name w:val="Chart Title"/>
    <w:basedOn w:val="Normal"/>
    <w:next w:val="ChartSub-title"/>
    <w:rsid w:val="00E12E3B"/>
    <w:pPr>
      <w:keepNext/>
      <w:spacing w:after="240"/>
      <w:jc w:val="center"/>
    </w:pPr>
    <w:rPr>
      <w:rFonts w:ascii="Arial" w:eastAsia="Times New Roman" w:hAnsi="Arial" w:cs="Arial"/>
      <w:b/>
      <w:sz w:val="18"/>
      <w:szCs w:val="22"/>
      <w:lang w:val="en-US" w:eastAsia="zh-CN"/>
    </w:rPr>
  </w:style>
  <w:style w:type="paragraph" w:customStyle="1" w:styleId="ChartNote">
    <w:name w:val="Chart Note"/>
    <w:basedOn w:val="Normal"/>
    <w:rsid w:val="00E12E3B"/>
    <w:pPr>
      <w:spacing w:after="120"/>
      <w:jc w:val="left"/>
    </w:pPr>
    <w:rPr>
      <w:rFonts w:ascii="Arial" w:eastAsia="Times New Roman" w:hAnsi="Arial" w:cs="Arial"/>
      <w:sz w:val="16"/>
      <w:szCs w:val="22"/>
      <w:lang w:val="en-US" w:eastAsia="zh-CN"/>
    </w:rPr>
  </w:style>
  <w:style w:type="paragraph" w:customStyle="1" w:styleId="BoxHeading2">
    <w:name w:val="Box Heading 2"/>
    <w:basedOn w:val="Normal"/>
    <w:next w:val="BoxBodyText"/>
    <w:rsid w:val="00E12E3B"/>
    <w:pPr>
      <w:spacing w:before="240" w:after="240"/>
      <w:jc w:val="left"/>
    </w:pPr>
    <w:rPr>
      <w:rFonts w:ascii="Arial" w:eastAsia="Times New Roman" w:hAnsi="Arial" w:cs="Arial"/>
      <w:b/>
      <w:sz w:val="18"/>
      <w:szCs w:val="22"/>
      <w:lang w:val="en-US" w:eastAsia="zh-CN"/>
    </w:rPr>
  </w:style>
  <w:style w:type="paragraph" w:customStyle="1" w:styleId="BoxHeading3">
    <w:name w:val="Box Heading 3"/>
    <w:basedOn w:val="Normal"/>
    <w:next w:val="BoxBodyText"/>
    <w:rsid w:val="00E12E3B"/>
    <w:pPr>
      <w:spacing w:before="240" w:after="240"/>
      <w:jc w:val="left"/>
    </w:pPr>
    <w:rPr>
      <w:rFonts w:ascii="Arial" w:eastAsia="Times New Roman" w:hAnsi="Arial" w:cs="Arial"/>
      <w:b/>
      <w:i/>
      <w:sz w:val="18"/>
      <w:szCs w:val="22"/>
      <w:lang w:val="en-US" w:eastAsia="zh-CN"/>
    </w:rPr>
  </w:style>
  <w:style w:type="paragraph" w:customStyle="1" w:styleId="BoxNote">
    <w:name w:val="Box Note"/>
    <w:basedOn w:val="Normal"/>
    <w:rsid w:val="00E12E3B"/>
    <w:pPr>
      <w:tabs>
        <w:tab w:val="clear" w:pos="850"/>
        <w:tab w:val="clear" w:pos="1191"/>
        <w:tab w:val="clear" w:pos="1531"/>
        <w:tab w:val="left" w:pos="340"/>
      </w:tabs>
      <w:spacing w:after="120"/>
      <w:jc w:val="left"/>
    </w:pPr>
    <w:rPr>
      <w:rFonts w:ascii="Arial" w:eastAsia="Times New Roman" w:hAnsi="Arial" w:cs="Arial"/>
      <w:sz w:val="18"/>
      <w:szCs w:val="22"/>
      <w:lang w:val="en-US" w:eastAsia="zh-CN"/>
    </w:rPr>
  </w:style>
  <w:style w:type="paragraph" w:customStyle="1" w:styleId="ListBulletBox">
    <w:name w:val="List Bullet Box"/>
    <w:basedOn w:val="Normal"/>
    <w:rsid w:val="00E12E3B"/>
    <w:pPr>
      <w:tabs>
        <w:tab w:val="clear" w:pos="1191"/>
        <w:tab w:val="clear" w:pos="1531"/>
        <w:tab w:val="num" w:pos="850"/>
      </w:tabs>
      <w:spacing w:after="240"/>
      <w:ind w:left="850" w:hanging="408"/>
    </w:pPr>
    <w:rPr>
      <w:rFonts w:ascii="Arial" w:eastAsia="Times New Roman" w:hAnsi="Arial" w:cs="Arial"/>
      <w:sz w:val="18"/>
      <w:szCs w:val="22"/>
      <w:lang w:val="en-US" w:eastAsia="zh-CN"/>
    </w:rPr>
  </w:style>
  <w:style w:type="paragraph" w:customStyle="1" w:styleId="ListBulletBox2">
    <w:name w:val="List Bullet Box 2"/>
    <w:basedOn w:val="Normal"/>
    <w:rsid w:val="00E12E3B"/>
    <w:pPr>
      <w:tabs>
        <w:tab w:val="clear" w:pos="850"/>
        <w:tab w:val="clear" w:pos="1531"/>
        <w:tab w:val="num" w:pos="1191"/>
      </w:tabs>
      <w:spacing w:after="240"/>
      <w:ind w:left="1191" w:hanging="340"/>
    </w:pPr>
    <w:rPr>
      <w:rFonts w:ascii="Arial" w:eastAsia="Times New Roman" w:hAnsi="Arial" w:cs="Arial"/>
      <w:sz w:val="18"/>
      <w:szCs w:val="22"/>
      <w:lang w:val="en-US" w:eastAsia="zh-CN"/>
    </w:rPr>
  </w:style>
  <w:style w:type="paragraph" w:customStyle="1" w:styleId="ListBulletBox3">
    <w:name w:val="List Bullet Box 3"/>
    <w:basedOn w:val="Normal"/>
    <w:rsid w:val="00E12E3B"/>
    <w:pPr>
      <w:tabs>
        <w:tab w:val="clear" w:pos="850"/>
        <w:tab w:val="clear" w:pos="1191"/>
        <w:tab w:val="clear" w:pos="1531"/>
        <w:tab w:val="num" w:pos="1474"/>
      </w:tabs>
      <w:spacing w:after="240"/>
      <w:ind w:left="1474" w:hanging="340"/>
    </w:pPr>
    <w:rPr>
      <w:rFonts w:ascii="Arial" w:eastAsia="Times New Roman" w:hAnsi="Arial" w:cs="Arial"/>
      <w:sz w:val="18"/>
      <w:szCs w:val="22"/>
      <w:lang w:val="en-US" w:eastAsia="zh-CN"/>
    </w:rPr>
  </w:style>
  <w:style w:type="paragraph" w:customStyle="1" w:styleId="ListNumberBox">
    <w:name w:val="List Number Box"/>
    <w:basedOn w:val="Normal"/>
    <w:rsid w:val="00E12E3B"/>
    <w:pPr>
      <w:tabs>
        <w:tab w:val="clear" w:pos="1191"/>
        <w:tab w:val="clear" w:pos="1531"/>
      </w:tabs>
      <w:spacing w:after="240"/>
      <w:ind w:left="850" w:hanging="408"/>
    </w:pPr>
    <w:rPr>
      <w:rFonts w:ascii="Arial" w:eastAsia="Times New Roman" w:hAnsi="Arial" w:cs="Arial"/>
      <w:sz w:val="18"/>
      <w:szCs w:val="22"/>
      <w:lang w:val="en-US" w:eastAsia="zh-CN"/>
    </w:rPr>
  </w:style>
  <w:style w:type="paragraph" w:customStyle="1" w:styleId="ListNumberBox2">
    <w:name w:val="List Number Box 2"/>
    <w:basedOn w:val="Normal"/>
    <w:rsid w:val="00E12E3B"/>
    <w:pPr>
      <w:tabs>
        <w:tab w:val="clear" w:pos="850"/>
        <w:tab w:val="clear" w:pos="1531"/>
      </w:tabs>
      <w:spacing w:after="240"/>
      <w:ind w:left="1191" w:hanging="340"/>
    </w:pPr>
    <w:rPr>
      <w:rFonts w:ascii="Arial" w:eastAsia="Times New Roman" w:hAnsi="Arial" w:cs="Arial"/>
      <w:sz w:val="18"/>
      <w:szCs w:val="22"/>
      <w:lang w:val="en-US" w:eastAsia="zh-CN"/>
    </w:rPr>
  </w:style>
  <w:style w:type="paragraph" w:customStyle="1" w:styleId="ListNumberBox3">
    <w:name w:val="List Number Box 3"/>
    <w:basedOn w:val="Normal"/>
    <w:rsid w:val="00E12E3B"/>
    <w:pPr>
      <w:tabs>
        <w:tab w:val="clear" w:pos="850"/>
        <w:tab w:val="clear" w:pos="1191"/>
        <w:tab w:val="clear" w:pos="1531"/>
        <w:tab w:val="left" w:pos="1474"/>
      </w:tabs>
      <w:spacing w:after="240"/>
      <w:ind w:left="1474" w:hanging="340"/>
    </w:pPr>
    <w:rPr>
      <w:rFonts w:ascii="Arial" w:eastAsia="Times New Roman" w:hAnsi="Arial" w:cs="Arial"/>
      <w:sz w:val="18"/>
      <w:szCs w:val="22"/>
      <w:lang w:val="en-US" w:eastAsia="zh-CN"/>
    </w:rPr>
  </w:style>
  <w:style w:type="paragraph" w:customStyle="1" w:styleId="ListContinueBox">
    <w:name w:val="List Continue Box"/>
    <w:basedOn w:val="Normal"/>
    <w:rsid w:val="00E12E3B"/>
    <w:pPr>
      <w:tabs>
        <w:tab w:val="clear" w:pos="850"/>
        <w:tab w:val="clear" w:pos="1191"/>
        <w:tab w:val="clear" w:pos="1531"/>
      </w:tabs>
      <w:spacing w:after="240"/>
      <w:ind w:left="850"/>
    </w:pPr>
    <w:rPr>
      <w:rFonts w:ascii="Arial" w:eastAsia="Times New Roman" w:hAnsi="Arial" w:cs="Arial"/>
      <w:sz w:val="18"/>
      <w:szCs w:val="22"/>
      <w:lang w:val="en-US" w:eastAsia="zh-CN"/>
    </w:rPr>
  </w:style>
  <w:style w:type="paragraph" w:customStyle="1" w:styleId="ListContinueBox2">
    <w:name w:val="List Continue Box 2"/>
    <w:basedOn w:val="Normal"/>
    <w:rsid w:val="00E12E3B"/>
    <w:pPr>
      <w:tabs>
        <w:tab w:val="clear" w:pos="850"/>
        <w:tab w:val="clear" w:pos="1191"/>
        <w:tab w:val="clear" w:pos="1531"/>
      </w:tabs>
      <w:spacing w:after="240"/>
      <w:ind w:left="1191"/>
    </w:pPr>
    <w:rPr>
      <w:rFonts w:ascii="Arial" w:eastAsia="Times New Roman" w:hAnsi="Arial" w:cs="Arial"/>
      <w:sz w:val="18"/>
      <w:szCs w:val="22"/>
      <w:lang w:val="en-US" w:eastAsia="zh-CN"/>
    </w:rPr>
  </w:style>
  <w:style w:type="paragraph" w:customStyle="1" w:styleId="ListContinueBox3">
    <w:name w:val="List Continue Box 3"/>
    <w:basedOn w:val="Normal"/>
    <w:rsid w:val="00E12E3B"/>
    <w:pPr>
      <w:tabs>
        <w:tab w:val="clear" w:pos="850"/>
        <w:tab w:val="clear" w:pos="1191"/>
        <w:tab w:val="clear" w:pos="1531"/>
      </w:tabs>
      <w:spacing w:after="240"/>
      <w:ind w:left="1474"/>
    </w:pPr>
    <w:rPr>
      <w:rFonts w:ascii="Arial" w:eastAsia="Times New Roman" w:hAnsi="Arial" w:cs="Arial"/>
      <w:sz w:val="18"/>
      <w:szCs w:val="22"/>
      <w:lang w:val="en-US" w:eastAsia="zh-CN"/>
    </w:rPr>
  </w:style>
  <w:style w:type="paragraph" w:customStyle="1" w:styleId="BoxSource">
    <w:name w:val="Box Source"/>
    <w:basedOn w:val="Normal"/>
    <w:next w:val="BodyText"/>
    <w:rsid w:val="00E12E3B"/>
    <w:pPr>
      <w:spacing w:after="360"/>
    </w:pPr>
    <w:rPr>
      <w:rFonts w:ascii="Arial" w:eastAsia="Times New Roman" w:hAnsi="Arial" w:cs="Arial"/>
      <w:sz w:val="16"/>
      <w:szCs w:val="22"/>
      <w:lang w:val="en-US" w:eastAsia="zh-CN"/>
    </w:rPr>
  </w:style>
  <w:style w:type="character" w:customStyle="1" w:styleId="Cote">
    <w:name w:val="Cote"/>
    <w:basedOn w:val="DefaultParagraphFont"/>
    <w:rsid w:val="00E12E3B"/>
    <w:rPr>
      <w:caps/>
      <w:smallCaps w:val="0"/>
      <w:lang w:val="en-US"/>
    </w:rPr>
  </w:style>
  <w:style w:type="paragraph" w:customStyle="1" w:styleId="AcknowledgementHeading">
    <w:name w:val="Acknowledgement Heading"/>
    <w:basedOn w:val="Normal"/>
    <w:next w:val="BodyText"/>
    <w:rsid w:val="00E12E3B"/>
    <w:pPr>
      <w:keepNext/>
      <w:spacing w:before="1200" w:after="720"/>
      <w:jc w:val="center"/>
    </w:pPr>
    <w:rPr>
      <w:rFonts w:eastAsia="Times New Roman"/>
      <w:b/>
      <w:caps/>
      <w:szCs w:val="22"/>
      <w:lang w:val="en-US" w:eastAsia="zh-CN"/>
    </w:rPr>
  </w:style>
  <w:style w:type="paragraph" w:customStyle="1" w:styleId="BoxBodyText">
    <w:name w:val="Box Body Text"/>
    <w:basedOn w:val="Normal"/>
    <w:rsid w:val="00E12E3B"/>
    <w:pPr>
      <w:spacing w:after="240"/>
      <w:ind w:firstLine="442"/>
    </w:pPr>
    <w:rPr>
      <w:rFonts w:ascii="Arial" w:eastAsia="Times New Roman" w:hAnsi="Arial" w:cs="Arial"/>
      <w:sz w:val="18"/>
      <w:szCs w:val="22"/>
      <w:lang w:val="en-US" w:eastAsia="zh-CN"/>
    </w:rPr>
  </w:style>
  <w:style w:type="paragraph" w:customStyle="1" w:styleId="BoxBodyTextIndent">
    <w:name w:val="Box Body Text Indent"/>
    <w:basedOn w:val="Normal"/>
    <w:rsid w:val="00E12E3B"/>
    <w:pPr>
      <w:spacing w:after="240"/>
      <w:ind w:left="442"/>
    </w:pPr>
    <w:rPr>
      <w:rFonts w:ascii="Arial" w:eastAsia="Times New Roman" w:hAnsi="Arial" w:cs="Arial"/>
      <w:sz w:val="18"/>
      <w:szCs w:val="22"/>
      <w:lang w:val="en-US" w:eastAsia="zh-CN"/>
    </w:rPr>
  </w:style>
  <w:style w:type="paragraph" w:customStyle="1" w:styleId="Citation">
    <w:name w:val="Citation"/>
    <w:basedOn w:val="BodyText"/>
    <w:link w:val="CitationChar"/>
    <w:rsid w:val="00E12E3B"/>
    <w:pPr>
      <w:tabs>
        <w:tab w:val="left" w:pos="850"/>
        <w:tab w:val="left" w:pos="1191"/>
        <w:tab w:val="left" w:pos="1531"/>
      </w:tabs>
      <w:spacing w:after="240"/>
      <w:ind w:left="850" w:firstLine="0"/>
      <w:jc w:val="left"/>
    </w:pPr>
    <w:rPr>
      <w:rFonts w:eastAsia="Times New Roman"/>
      <w:szCs w:val="22"/>
      <w:lang w:eastAsia="zh-CN"/>
    </w:rPr>
  </w:style>
  <w:style w:type="character" w:customStyle="1" w:styleId="CitationChar">
    <w:name w:val="Citation Char"/>
    <w:basedOn w:val="DefaultParagraphFont"/>
    <w:link w:val="Citation"/>
    <w:rsid w:val="00E12E3B"/>
    <w:rPr>
      <w:rFonts w:ascii="Times New Roman" w:eastAsia="Times New Roman" w:hAnsi="Times New Roman"/>
      <w:sz w:val="22"/>
      <w:szCs w:val="22"/>
      <w:lang w:val="en-GB" w:eastAsia="zh-CN"/>
    </w:rPr>
  </w:style>
  <w:style w:type="paragraph" w:customStyle="1" w:styleId="EndNoteBibliographyTitle">
    <w:name w:val="EndNote Bibliography Title"/>
    <w:basedOn w:val="Normal"/>
    <w:rsid w:val="00E12E3B"/>
    <w:pPr>
      <w:tabs>
        <w:tab w:val="clear" w:pos="850"/>
        <w:tab w:val="clear" w:pos="1191"/>
        <w:tab w:val="clear" w:pos="1531"/>
      </w:tabs>
      <w:spacing w:after="200"/>
      <w:jc w:val="center"/>
    </w:pPr>
    <w:rPr>
      <w:rFonts w:eastAsiaTheme="minorEastAsia"/>
      <w:szCs w:val="24"/>
      <w:lang w:val="en-US" w:eastAsia="ja-JP"/>
    </w:rPr>
  </w:style>
  <w:style w:type="paragraph" w:customStyle="1" w:styleId="EndNoteBibliography">
    <w:name w:val="EndNote Bibliography"/>
    <w:basedOn w:val="Normal"/>
    <w:rsid w:val="00E12E3B"/>
    <w:pPr>
      <w:tabs>
        <w:tab w:val="clear" w:pos="850"/>
        <w:tab w:val="clear" w:pos="1191"/>
        <w:tab w:val="clear" w:pos="1531"/>
      </w:tabs>
      <w:spacing w:after="200"/>
      <w:jc w:val="left"/>
    </w:pPr>
    <w:rPr>
      <w:rFonts w:eastAsiaTheme="minorEastAsia"/>
      <w:szCs w:val="24"/>
      <w:lang w:val="en-US" w:eastAsia="ja-JP"/>
    </w:rPr>
  </w:style>
  <w:style w:type="character" w:styleId="HTMLCite">
    <w:name w:val="HTML Cite"/>
    <w:uiPriority w:val="99"/>
    <w:semiHidden/>
    <w:unhideWhenUsed/>
    <w:rsid w:val="00E12E3B"/>
    <w:rPr>
      <w:i w:val="0"/>
      <w:iCs w:val="0"/>
      <w:color w:val="0E774A"/>
    </w:rPr>
  </w:style>
  <w:style w:type="paragraph" w:customStyle="1" w:styleId="Tab-titrelignes">
    <w:name w:val="Tab-titrelignes"/>
    <w:basedOn w:val="Normal"/>
    <w:rsid w:val="00E12E3B"/>
    <w:pPr>
      <w:tabs>
        <w:tab w:val="clear" w:pos="850"/>
        <w:tab w:val="clear" w:pos="1191"/>
        <w:tab w:val="clear" w:pos="1531"/>
      </w:tabs>
      <w:jc w:val="left"/>
    </w:pPr>
    <w:rPr>
      <w:rFonts w:ascii="Palatino Linotype" w:hAnsi="Palatino Linotype"/>
      <w:sz w:val="18"/>
      <w:szCs w:val="18"/>
    </w:rPr>
  </w:style>
  <w:style w:type="paragraph" w:customStyle="1" w:styleId="Box">
    <w:name w:val="Box"/>
    <w:basedOn w:val="BoxBodyText"/>
    <w:rsid w:val="00E12E3B"/>
  </w:style>
  <w:style w:type="table" w:styleId="MediumList2">
    <w:name w:val="Medium List 2"/>
    <w:basedOn w:val="TableNormal"/>
    <w:uiPriority w:val="66"/>
    <w:rsid w:val="00E12E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E12E3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E12E3B"/>
    <w:pPr>
      <w:autoSpaceDE w:val="0"/>
      <w:autoSpaceDN w:val="0"/>
      <w:adjustRightInd w:val="0"/>
    </w:pPr>
    <w:rPr>
      <w:rFonts w:ascii="Kabel-Black" w:hAnsi="Kabel-Black" w:cs="Kabel-Black"/>
      <w:color w:val="000000"/>
      <w:sz w:val="24"/>
      <w:szCs w:val="24"/>
      <w:lang w:val="en-GB"/>
    </w:rPr>
  </w:style>
  <w:style w:type="paragraph" w:customStyle="1" w:styleId="Pa0">
    <w:name w:val="Pa0"/>
    <w:basedOn w:val="Default"/>
    <w:next w:val="Default"/>
    <w:uiPriority w:val="99"/>
    <w:rsid w:val="00E12E3B"/>
    <w:pPr>
      <w:spacing w:line="241" w:lineRule="atLeast"/>
    </w:pPr>
    <w:rPr>
      <w:rFonts w:cstheme="minorBidi"/>
      <w:color w:val="auto"/>
    </w:rPr>
  </w:style>
  <w:style w:type="character" w:customStyle="1" w:styleId="A1">
    <w:name w:val="A1"/>
    <w:uiPriority w:val="99"/>
    <w:rsid w:val="00E12E3B"/>
    <w:rPr>
      <w:rFonts w:ascii="Kabel-Book" w:hAnsi="Kabel-Book" w:cs="Kabel-Book"/>
      <w:color w:val="000000"/>
      <w:sz w:val="48"/>
      <w:szCs w:val="48"/>
    </w:rPr>
  </w:style>
  <w:style w:type="paragraph" w:customStyle="1" w:styleId="Pa13">
    <w:name w:val="Pa13"/>
    <w:basedOn w:val="Default"/>
    <w:next w:val="Default"/>
    <w:uiPriority w:val="99"/>
    <w:rsid w:val="00E12E3B"/>
    <w:pPr>
      <w:spacing w:line="191" w:lineRule="atLeast"/>
    </w:pPr>
    <w:rPr>
      <w:rFonts w:ascii="HelveticaNeueLT Pro 55 Roman" w:hAnsi="HelveticaNeueLT Pro 55 Roman" w:cstheme="minorBidi"/>
      <w:color w:val="auto"/>
    </w:rPr>
  </w:style>
  <w:style w:type="character" w:customStyle="1" w:styleId="NormalIndentChar">
    <w:name w:val="Normal Indent Char"/>
    <w:link w:val="NormalIndent"/>
    <w:uiPriority w:val="99"/>
    <w:locked/>
    <w:rsid w:val="008475A4"/>
    <w:rPr>
      <w:rFonts w:ascii="Times New Roman" w:eastAsia="SimSun" w:hAnsi="Times New Roman"/>
      <w:sz w:val="22"/>
      <w:lang w:val="en-GB"/>
    </w:rPr>
  </w:style>
  <w:style w:type="character" w:customStyle="1" w:styleId="A5">
    <w:name w:val="A5"/>
    <w:uiPriority w:val="99"/>
    <w:rsid w:val="008475A4"/>
    <w:rPr>
      <w:rFonts w:ascii="HSMZH C+ DTL Documenta T" w:hAnsi="HSMZH C+ DTL Documenta T" w:cs="HSMZH C+ DTL Documenta T" w:hint="default"/>
      <w:color w:val="000000"/>
      <w:sz w:val="19"/>
      <w:szCs w:val="19"/>
    </w:rPr>
  </w:style>
  <w:style w:type="character" w:customStyle="1" w:styleId="CorrespondL1Char">
    <w:name w:val="Correspond_L1 Char"/>
    <w:link w:val="CorrespondL1"/>
    <w:uiPriority w:val="1"/>
    <w:locked/>
    <w:rsid w:val="008475A4"/>
    <w:rPr>
      <w:sz w:val="24"/>
    </w:rPr>
  </w:style>
  <w:style w:type="paragraph" w:customStyle="1" w:styleId="CorrespondL1">
    <w:name w:val="Correspond_L1"/>
    <w:basedOn w:val="Normal"/>
    <w:link w:val="CorrespondL1Char"/>
    <w:uiPriority w:val="1"/>
    <w:qFormat/>
    <w:rsid w:val="008475A4"/>
    <w:pPr>
      <w:numPr>
        <w:numId w:val="17"/>
      </w:numPr>
      <w:tabs>
        <w:tab w:val="clear" w:pos="850"/>
        <w:tab w:val="clear" w:pos="1191"/>
        <w:tab w:val="clear" w:pos="1531"/>
      </w:tabs>
      <w:spacing w:after="240"/>
      <w:outlineLvl w:val="0"/>
    </w:pPr>
    <w:rPr>
      <w:rFonts w:ascii="Georgia" w:hAnsi="Georgia"/>
      <w:sz w:val="24"/>
      <w:lang w:val="en-US"/>
    </w:rPr>
  </w:style>
  <w:style w:type="paragraph" w:customStyle="1" w:styleId="CorrespondL2">
    <w:name w:val="Correspond_L2"/>
    <w:basedOn w:val="CorrespondL1"/>
    <w:uiPriority w:val="1"/>
    <w:qFormat/>
    <w:rsid w:val="008475A4"/>
    <w:pPr>
      <w:numPr>
        <w:ilvl w:val="1"/>
      </w:numPr>
      <w:tabs>
        <w:tab w:val="clear" w:pos="1440"/>
        <w:tab w:val="num" w:pos="360"/>
        <w:tab w:val="num" w:pos="850"/>
      </w:tabs>
      <w:ind w:left="850" w:hanging="360"/>
      <w:outlineLvl w:val="1"/>
    </w:pPr>
  </w:style>
  <w:style w:type="paragraph" w:customStyle="1" w:styleId="CorrespondL3">
    <w:name w:val="Correspond_L3"/>
    <w:basedOn w:val="CorrespondL2"/>
    <w:uiPriority w:val="1"/>
    <w:qFormat/>
    <w:rsid w:val="008475A4"/>
    <w:pPr>
      <w:numPr>
        <w:ilvl w:val="2"/>
      </w:numPr>
      <w:tabs>
        <w:tab w:val="clear" w:pos="2160"/>
        <w:tab w:val="num" w:pos="360"/>
        <w:tab w:val="num" w:pos="850"/>
      </w:tabs>
      <w:ind w:left="850" w:hanging="180"/>
      <w:outlineLvl w:val="2"/>
    </w:pPr>
  </w:style>
  <w:style w:type="character" w:customStyle="1" w:styleId="AgreementL1Char">
    <w:name w:val="Agreement_L1 Char"/>
    <w:link w:val="AgreementL1"/>
    <w:locked/>
    <w:rsid w:val="008475A4"/>
    <w:rPr>
      <w:b/>
      <w:caps/>
      <w:sz w:val="24"/>
    </w:rPr>
  </w:style>
  <w:style w:type="paragraph" w:customStyle="1" w:styleId="AgreementL1">
    <w:name w:val="Agreement_L1"/>
    <w:basedOn w:val="Normal"/>
    <w:next w:val="NormalIndent"/>
    <w:link w:val="AgreementL1Char"/>
    <w:rsid w:val="008475A4"/>
    <w:pPr>
      <w:keepNext/>
      <w:numPr>
        <w:numId w:val="18"/>
      </w:numPr>
      <w:tabs>
        <w:tab w:val="clear" w:pos="850"/>
        <w:tab w:val="clear" w:pos="1191"/>
        <w:tab w:val="clear" w:pos="1531"/>
      </w:tabs>
      <w:spacing w:after="240"/>
      <w:outlineLvl w:val="0"/>
    </w:pPr>
    <w:rPr>
      <w:rFonts w:ascii="Georgia" w:hAnsi="Georgia"/>
      <w:b/>
      <w:caps/>
      <w:sz w:val="24"/>
      <w:lang w:val="en-US"/>
    </w:rPr>
  </w:style>
  <w:style w:type="paragraph" w:customStyle="1" w:styleId="AgreementL2">
    <w:name w:val="Agreement_L2"/>
    <w:basedOn w:val="AgreementL1"/>
    <w:next w:val="NormalIndent"/>
    <w:link w:val="AgreementL2Char"/>
    <w:rsid w:val="008475A4"/>
    <w:pPr>
      <w:numPr>
        <w:ilvl w:val="1"/>
      </w:numPr>
      <w:tabs>
        <w:tab w:val="clear" w:pos="720"/>
        <w:tab w:val="num" w:pos="360"/>
      </w:tabs>
      <w:ind w:left="1440" w:hanging="360"/>
      <w:outlineLvl w:val="1"/>
    </w:pPr>
    <w:rPr>
      <w:caps w:val="0"/>
    </w:rPr>
  </w:style>
  <w:style w:type="paragraph" w:customStyle="1" w:styleId="AgreementL3">
    <w:name w:val="Agreement_L3"/>
    <w:basedOn w:val="AgreementL2"/>
    <w:link w:val="AgreementL3Char"/>
    <w:rsid w:val="008475A4"/>
    <w:pPr>
      <w:keepNext w:val="0"/>
      <w:numPr>
        <w:ilvl w:val="2"/>
      </w:numPr>
      <w:tabs>
        <w:tab w:val="clear" w:pos="1440"/>
        <w:tab w:val="num" w:pos="360"/>
      </w:tabs>
      <w:ind w:left="2160" w:hanging="180"/>
      <w:outlineLvl w:val="2"/>
    </w:pPr>
    <w:rPr>
      <w:b w:val="0"/>
    </w:rPr>
  </w:style>
  <w:style w:type="paragraph" w:customStyle="1" w:styleId="AgreementL4">
    <w:name w:val="Agreement_L4"/>
    <w:basedOn w:val="AgreementL3"/>
    <w:link w:val="AgreementL4Char"/>
    <w:rsid w:val="008475A4"/>
    <w:pPr>
      <w:numPr>
        <w:ilvl w:val="3"/>
      </w:numPr>
      <w:tabs>
        <w:tab w:val="clear" w:pos="2160"/>
        <w:tab w:val="num" w:pos="360"/>
      </w:tabs>
      <w:ind w:left="2880" w:hanging="360"/>
      <w:outlineLvl w:val="3"/>
    </w:pPr>
  </w:style>
  <w:style w:type="paragraph" w:customStyle="1" w:styleId="AgreementL5">
    <w:name w:val="Agreement_L5"/>
    <w:basedOn w:val="AgreementL4"/>
    <w:link w:val="AgreementL5Char"/>
    <w:rsid w:val="008475A4"/>
    <w:pPr>
      <w:numPr>
        <w:ilvl w:val="4"/>
      </w:numPr>
      <w:tabs>
        <w:tab w:val="clear" w:pos="2880"/>
        <w:tab w:val="num" w:pos="360"/>
      </w:tabs>
      <w:ind w:hanging="360"/>
    </w:pPr>
  </w:style>
  <w:style w:type="character" w:customStyle="1" w:styleId="AgreementL3Char">
    <w:name w:val="Agreement_L3 Char"/>
    <w:basedOn w:val="DefaultParagraphFont"/>
    <w:link w:val="AgreementL3"/>
    <w:locked/>
    <w:rsid w:val="008475A4"/>
    <w:rPr>
      <w:sz w:val="24"/>
    </w:rPr>
  </w:style>
  <w:style w:type="character" w:customStyle="1" w:styleId="AgreementL4Char">
    <w:name w:val="Agreement_L4 Char"/>
    <w:basedOn w:val="DefaultParagraphFont"/>
    <w:link w:val="AgreementL4"/>
    <w:locked/>
    <w:rsid w:val="008475A4"/>
    <w:rPr>
      <w:sz w:val="24"/>
    </w:rPr>
  </w:style>
  <w:style w:type="character" w:customStyle="1" w:styleId="AgreementL2Char">
    <w:name w:val="Agreement_L2 Char"/>
    <w:link w:val="AgreementL2"/>
    <w:locked/>
    <w:rsid w:val="008475A4"/>
    <w:rPr>
      <w:b/>
      <w:sz w:val="24"/>
    </w:rPr>
  </w:style>
  <w:style w:type="character" w:customStyle="1" w:styleId="AgreementL5Char">
    <w:name w:val="Agreement_L5 Char"/>
    <w:basedOn w:val="DefaultParagraphFont"/>
    <w:link w:val="AgreementL5"/>
    <w:locked/>
    <w:rsid w:val="008475A4"/>
    <w:rPr>
      <w:sz w:val="24"/>
    </w:rPr>
  </w:style>
  <w:style w:type="character" w:customStyle="1" w:styleId="76">
    <w:name w:val="76"/>
    <w:basedOn w:val="DefaultParagraphFont"/>
    <w:rsid w:val="008475A4"/>
  </w:style>
  <w:style w:type="character" w:customStyle="1" w:styleId="77">
    <w:name w:val="77"/>
    <w:basedOn w:val="DefaultParagraphFont"/>
    <w:rsid w:val="008475A4"/>
  </w:style>
  <w:style w:type="character" w:customStyle="1" w:styleId="meta-value">
    <w:name w:val="meta-value"/>
    <w:basedOn w:val="DefaultParagraphFont"/>
    <w:rsid w:val="008475A4"/>
  </w:style>
  <w:style w:type="character" w:customStyle="1" w:styleId="A8">
    <w:name w:val="A8"/>
    <w:uiPriority w:val="99"/>
    <w:rsid w:val="008475A4"/>
    <w:rPr>
      <w:rFonts w:cs="Rockwell"/>
      <w:color w:val="000000"/>
      <w:sz w:val="22"/>
      <w:szCs w:val="22"/>
    </w:rPr>
  </w:style>
  <w:style w:type="paragraph" w:customStyle="1" w:styleId="Pa8">
    <w:name w:val="Pa8"/>
    <w:basedOn w:val="Default"/>
    <w:next w:val="Default"/>
    <w:uiPriority w:val="99"/>
    <w:rsid w:val="008475A4"/>
    <w:pPr>
      <w:spacing w:line="241" w:lineRule="atLeast"/>
    </w:pPr>
    <w:rPr>
      <w:rFonts w:ascii="Whitney Book" w:eastAsia="Times New Roman" w:hAnsi="Whitney Book" w:cs="Times New Roman"/>
      <w:color w:val="auto"/>
    </w:rPr>
  </w:style>
  <w:style w:type="character" w:customStyle="1" w:styleId="A13">
    <w:name w:val="A13"/>
    <w:uiPriority w:val="99"/>
    <w:rsid w:val="008475A4"/>
    <w:rPr>
      <w:rFonts w:cs="Whitney Book"/>
      <w:color w:val="000000"/>
      <w:sz w:val="14"/>
      <w:szCs w:val="14"/>
    </w:rPr>
  </w:style>
  <w:style w:type="character" w:customStyle="1" w:styleId="A7">
    <w:name w:val="A7"/>
    <w:uiPriority w:val="99"/>
    <w:rsid w:val="008475A4"/>
    <w:rPr>
      <w:rFonts w:cs="Whitney Book"/>
      <w:color w:val="000000"/>
    </w:rPr>
  </w:style>
  <w:style w:type="paragraph" w:customStyle="1" w:styleId="Pa12">
    <w:name w:val="Pa12"/>
    <w:basedOn w:val="Default"/>
    <w:next w:val="Default"/>
    <w:uiPriority w:val="99"/>
    <w:rsid w:val="008475A4"/>
    <w:pPr>
      <w:spacing w:line="241" w:lineRule="atLeast"/>
    </w:pPr>
    <w:rPr>
      <w:rFonts w:ascii="Whitney Book" w:eastAsia="Times New Roman" w:hAnsi="Whitney Book"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Note"/>
    <w:pPr>
      <w:numPr>
        <w:numId w:val="2"/>
      </w:numPr>
    </w:pPr>
  </w:style>
  <w:style w:type="numbering" w:customStyle="1" w:styleId="Heading2Char">
    <w:name w:val="NumericNote"/>
    <w:pPr>
      <w:numPr>
        <w:numId w:val="3"/>
      </w:numPr>
    </w:pPr>
  </w:style>
  <w:style w:type="numbering" w:customStyle="1" w:styleId="Heading3Char">
    <w:name w:val="NumberedNote"/>
    <w:pPr>
      <w:numPr>
        <w:numId w:val="1"/>
      </w:numPr>
    </w:pPr>
  </w:style>
  <w:style w:type="numbering" w:customStyle="1" w:styleId="Heading4Char">
    <w:name w:val="1Paragraphlist"/>
    <w:pPr>
      <w:numPr>
        <w:numId w:val="11"/>
      </w:numPr>
    </w:pPr>
  </w:style>
  <w:style w:type="numbering" w:customStyle="1" w:styleId="Heading5Char">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6667">
      <w:bodyDiv w:val="1"/>
      <w:marLeft w:val="0"/>
      <w:marRight w:val="0"/>
      <w:marTop w:val="0"/>
      <w:marBottom w:val="0"/>
      <w:divBdr>
        <w:top w:val="none" w:sz="0" w:space="0" w:color="auto"/>
        <w:left w:val="none" w:sz="0" w:space="0" w:color="auto"/>
        <w:bottom w:val="none" w:sz="0" w:space="0" w:color="auto"/>
        <w:right w:val="none" w:sz="0" w:space="0" w:color="auto"/>
      </w:divBdr>
    </w:div>
    <w:div w:id="896862540">
      <w:bodyDiv w:val="1"/>
      <w:marLeft w:val="0"/>
      <w:marRight w:val="0"/>
      <w:marTop w:val="0"/>
      <w:marBottom w:val="0"/>
      <w:divBdr>
        <w:top w:val="none" w:sz="0" w:space="0" w:color="auto"/>
        <w:left w:val="none" w:sz="0" w:space="0" w:color="auto"/>
        <w:bottom w:val="none" w:sz="0" w:space="0" w:color="auto"/>
        <w:right w:val="none" w:sz="0" w:space="0" w:color="auto"/>
      </w:divBdr>
    </w:div>
    <w:div w:id="21433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DEV.NaturalResources@oecd.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oecd.org/dev/natural-resources.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dx.doi.org/10.1787/9789264208667-en" TargetMode="External"/><Relationship Id="rId3" Type="http://schemas.openxmlformats.org/officeDocument/2006/relationships/hyperlink" Target="http://dx.doi.org/10.1787/9789264252462-en" TargetMode="External"/><Relationship Id="rId7" Type="http://schemas.openxmlformats.org/officeDocument/2006/relationships/hyperlink" Target="http://dx.doi.org/10.1787/9789264208667-en" TargetMode="External"/><Relationship Id="rId12" Type="http://schemas.openxmlformats.org/officeDocument/2006/relationships/hyperlink" Target="http://dx.doi.org/10.1787/9789264115415-en" TargetMode="External"/><Relationship Id="rId2" Type="http://schemas.openxmlformats.org/officeDocument/2006/relationships/hyperlink" Target="http://dx.doi.org/10.1787/9789264252462-en" TargetMode="External"/><Relationship Id="rId1" Type="http://schemas.openxmlformats.org/officeDocument/2006/relationships/hyperlink" Target="http://dx.doi.org/10.1787/9789264252462-en" TargetMode="External"/><Relationship Id="rId6" Type="http://schemas.openxmlformats.org/officeDocument/2006/relationships/hyperlink" Target="http://dx.doi.org/10.1787/9789264115415-en" TargetMode="External"/><Relationship Id="rId11" Type="http://schemas.openxmlformats.org/officeDocument/2006/relationships/hyperlink" Target="http://www.idi-iil.org/app/uploads/2017/06/Question3_travaux.pdf" TargetMode="External"/><Relationship Id="rId5" Type="http://schemas.openxmlformats.org/officeDocument/2006/relationships/hyperlink" Target="http://www.ifc.org/wps/wcm/connect/938f1a0048855805beacfe6a6515bb18/IFC_StakeholderEngagement.pdf?MOD=AJPERES" TargetMode="External"/><Relationship Id="rId10" Type="http://schemas.openxmlformats.org/officeDocument/2006/relationships/hyperlink" Target="http://dx.doi.org/10.1787/9789264208667-en" TargetMode="External"/><Relationship Id="rId4" Type="http://schemas.openxmlformats.org/officeDocument/2006/relationships/hyperlink" Target="http://dx.doi.org/10.1787/9789264252462-en" TargetMode="External"/><Relationship Id="rId9" Type="http://schemas.openxmlformats.org/officeDocument/2006/relationships/hyperlink" Target="http://dx.doi.org/10.1787/9789264208667-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ain.oecd.org\winapps\Office2010\Workgroup%20Templates\ONE%20Auth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2.xml><?xml version="1.0" encoding="utf-8"?>
<referenced-cote-metadata xmlns:xsi="http://www.w3.org/2001/XMLSchema-instance" xmlns:xsd="http://www.w3.org/2001/XMLSchema">
  <allcotes/>
</referenced-cote-metadata>
</file>

<file path=customXml/item3.xml><?xml version="1.0" encoding="utf-8"?>
<ValidationMessages xmlns="http://www.oecd.org/one.check/2016/validation/messages" Version="1.62.2.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TransformationErrorImportNotSupported</Code>
    <Title>Document transformation error</Title>
    <Text>This is not document created by AE. Import of the document is not supported</Text>
  </ValidationMessage>
  <ValidationMessage>
    <Id>87</Id>
    <Code>TransformationErrorImportNotSupported</Code>
    <Title>Document transformation error</Title>
    <Text>This is not document created by AE. Import of the document is not supported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box or a table</Title>
    <Text>Please review and copy table or box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Cotes' hyperlinks</Title>
    <Text>Hyperlinks have not been added for the cotes referenced in this document, because it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s>
</file>

<file path=customXml/item4.xml><?xml version="1.0" encoding="utf-8"?>
<HelpItems xmlns="http://www.oecd.org/one.check/2016/help" Version="1.62.2.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742C3618-0149-4C2F-BFBA-B1C1AD287F67}">
  <ds:schemaRefs>
    <ds:schemaRef ds:uri="http://www.oecd.org/one.check/2016/logo"/>
  </ds:schemaRefs>
</ds:datastoreItem>
</file>

<file path=customXml/itemProps2.xml><?xml version="1.0" encoding="utf-8"?>
<ds:datastoreItem xmlns:ds="http://schemas.openxmlformats.org/officeDocument/2006/customXml" ds:itemID="{B810F5ED-9804-4B1B-A2CF-7889FA03AD4B}">
  <ds:schemaRefs>
    <ds:schemaRef ds:uri="http://www.w3.org/2001/XMLSchema"/>
  </ds:schemaRefs>
</ds:datastoreItem>
</file>

<file path=customXml/itemProps3.xml><?xml version="1.0" encoding="utf-8"?>
<ds:datastoreItem xmlns:ds="http://schemas.openxmlformats.org/officeDocument/2006/customXml" ds:itemID="{FA73F2C9-FC17-4010-949A-949A2635B50C}">
  <ds:schemaRefs>
    <ds:schemaRef ds:uri="http://www.oecd.org/one.check/2016/validation/messages"/>
  </ds:schemaRefs>
</ds:datastoreItem>
</file>

<file path=customXml/itemProps4.xml><?xml version="1.0" encoding="utf-8"?>
<ds:datastoreItem xmlns:ds="http://schemas.openxmlformats.org/officeDocument/2006/customXml" ds:itemID="{5C395AA2-7920-4367-B8C2-4E030CBACBEB}">
  <ds:schemaRefs>
    <ds:schemaRef ds:uri="http://www.oecd.org/one.check/2016/help"/>
  </ds:schemaRefs>
</ds:datastoreItem>
</file>

<file path=customXml/itemProps5.xml><?xml version="1.0" encoding="utf-8"?>
<ds:datastoreItem xmlns:ds="http://schemas.openxmlformats.org/officeDocument/2006/customXml" ds:itemID="{718D284E-7C71-4F1F-BCF9-E318E45A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1</TotalTime>
  <Pages>22</Pages>
  <Words>7978</Words>
  <Characters>46278</Characters>
  <Application>Microsoft Office Word</Application>
  <DocSecurity>0</DocSecurity>
  <Lines>1285</Lines>
  <Paragraphs>211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CHEVALLIER Caroline</dc:creator>
  <cp:lastModifiedBy>WILSON Emma</cp:lastModifiedBy>
  <cp:revision>3</cp:revision>
  <cp:lastPrinted>2017-06-09T04:44:00Z</cp:lastPrinted>
  <dcterms:created xsi:type="dcterms:W3CDTF">2018-03-05T15:27:00Z</dcterms:created>
  <dcterms:modified xsi:type="dcterms:W3CDTF">2018-03-05T15:28:00Z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Name">
    <vt:lpwstr>ONE Author.dotx</vt:lpwstr>
  </property>
  <property fmtid="{D5CDD505-2E9C-101B-9397-08002B2CF9AE}" pid="3" name="OECDDocumentValidationErrors">
    <vt:lpwstr>0</vt:lpwstr>
  </property>
  <property fmtid="{D5CDD505-2E9C-101B-9397-08002B2CF9AE}" pid="4" name="OECDDocumentValidationWarnings">
    <vt:lpwstr>1</vt:lpwstr>
  </property>
  <property fmtid="{D5CDD505-2E9C-101B-9397-08002B2CF9AE}" pid="5" name="OECDDocumentCote">
    <vt:lpwstr/>
  </property>
  <property fmtid="{D5CDD505-2E9C-101B-9397-08002B2CF9AE}" pid="6" name="OECDDocumentDirectorate">
    <vt:lpwstr/>
  </property>
  <property fmtid="{D5CDD505-2E9C-101B-9397-08002B2CF9AE}" pid="7" name="OECDDocumentCommittee">
    <vt:lpwstr/>
  </property>
  <property fmtid="{D5CDD505-2E9C-101B-9397-08002B2CF9AE}" pid="8" name="OECDDocumentWorkingParty">
    <vt:lpwstr/>
  </property>
  <property fmtid="{D5CDD505-2E9C-101B-9397-08002B2CF9AE}" pid="9" name="OECDDocumentClassification">
    <vt:lpwstr/>
  </property>
  <property fmtid="{D5CDD505-2E9C-101B-9397-08002B2CF9AE}" pid="10" name="OECDDocumentDocumentAbstract">
    <vt:lpwstr/>
  </property>
  <property fmtid="{D5CDD505-2E9C-101B-9397-08002B2CF9AE}" pid="11" name="OECDDocumentContactInfo">
    <vt:lpwstr/>
  </property>
  <property fmtid="{D5CDD505-2E9C-101B-9397-08002B2CF9AE}" pid="12" name="OECDDocumentDocumentLanguage">
    <vt:lpwstr>English</vt:lpwstr>
  </property>
  <property fmtid="{D5CDD505-2E9C-101B-9397-08002B2CF9AE}" pid="13" name="OECDDocumentOriginalLanguage">
    <vt:lpwstr>English</vt:lpwstr>
  </property>
  <property fmtid="{D5CDD505-2E9C-101B-9397-08002B2CF9AE}" pid="14" name="OECDTemplateLocation">
    <vt:lpwstr>W:\Office2010\Workgroup Templates</vt:lpwstr>
  </property>
</Properties>
</file>